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BD" w:rsidRPr="001F11BD" w:rsidRDefault="001F11BD">
      <w:pPr>
        <w:pStyle w:val="ConsPlusNormal"/>
        <w:jc w:val="both"/>
        <w:outlineLvl w:val="0"/>
        <w:rPr>
          <w:rFonts w:ascii="Times New Roman" w:hAnsi="Times New Roman" w:cs="Times New Roman"/>
          <w:sz w:val="30"/>
          <w:szCs w:val="30"/>
        </w:rPr>
      </w:pPr>
      <w:r w:rsidRPr="001F11BD">
        <w:rPr>
          <w:rFonts w:ascii="Times New Roman" w:hAnsi="Times New Roman" w:cs="Times New Roman"/>
          <w:sz w:val="30"/>
          <w:szCs w:val="30"/>
        </w:rPr>
        <w:t>Зарегистрировано в Национальном реестре правовых актов</w:t>
      </w:r>
    </w:p>
    <w:p w:rsidR="001F11BD" w:rsidRPr="001F11BD" w:rsidRDefault="001F11BD">
      <w:pPr>
        <w:pStyle w:val="ConsPlusNormal"/>
        <w:spacing w:before="220"/>
        <w:jc w:val="both"/>
        <w:rPr>
          <w:rFonts w:ascii="Times New Roman" w:hAnsi="Times New Roman" w:cs="Times New Roman"/>
          <w:sz w:val="30"/>
          <w:szCs w:val="30"/>
        </w:rPr>
      </w:pPr>
      <w:r w:rsidRPr="001F11BD">
        <w:rPr>
          <w:rFonts w:ascii="Times New Roman" w:hAnsi="Times New Roman" w:cs="Times New Roman"/>
          <w:sz w:val="30"/>
          <w:szCs w:val="30"/>
        </w:rPr>
        <w:t>Республики Беларусь 4 января 2018 г. N 5/44646</w:t>
      </w:r>
    </w:p>
    <w:p w:rsidR="001F11BD" w:rsidRPr="001F11BD" w:rsidRDefault="001F11BD">
      <w:pPr>
        <w:pStyle w:val="ConsPlusNormal"/>
        <w:pBdr>
          <w:bottom w:val="single" w:sz="6" w:space="0" w:color="auto"/>
        </w:pBdr>
        <w:spacing w:before="100" w:after="100"/>
        <w:jc w:val="both"/>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Title"/>
        <w:jc w:val="center"/>
        <w:rPr>
          <w:rFonts w:ascii="Times New Roman" w:hAnsi="Times New Roman" w:cs="Times New Roman"/>
          <w:sz w:val="30"/>
          <w:szCs w:val="30"/>
        </w:rPr>
      </w:pPr>
      <w:r w:rsidRPr="001F11BD">
        <w:rPr>
          <w:rFonts w:ascii="Times New Roman" w:hAnsi="Times New Roman" w:cs="Times New Roman"/>
          <w:sz w:val="30"/>
          <w:szCs w:val="30"/>
        </w:rPr>
        <w:t>ПОСТАНОВЛЕНИЕ СОВЕТА МИНИСТРОВ РЕСПУБЛИКИ БЕЛАРУСЬ</w:t>
      </w:r>
    </w:p>
    <w:p w:rsidR="001F11BD" w:rsidRPr="001F11BD" w:rsidRDefault="001F11BD">
      <w:pPr>
        <w:pStyle w:val="ConsPlusTitle"/>
        <w:jc w:val="center"/>
        <w:rPr>
          <w:rFonts w:ascii="Times New Roman" w:hAnsi="Times New Roman" w:cs="Times New Roman"/>
          <w:sz w:val="30"/>
          <w:szCs w:val="30"/>
        </w:rPr>
      </w:pPr>
      <w:r w:rsidRPr="001F11BD">
        <w:rPr>
          <w:rFonts w:ascii="Times New Roman" w:hAnsi="Times New Roman" w:cs="Times New Roman"/>
          <w:sz w:val="30"/>
          <w:szCs w:val="30"/>
        </w:rPr>
        <w:t>29 декабря 2017 г. N 1037</w:t>
      </w:r>
    </w:p>
    <w:p w:rsidR="001F11BD" w:rsidRPr="001F11BD" w:rsidRDefault="001F11BD">
      <w:pPr>
        <w:pStyle w:val="ConsPlusTitle"/>
        <w:jc w:val="center"/>
        <w:rPr>
          <w:rFonts w:ascii="Times New Roman" w:hAnsi="Times New Roman" w:cs="Times New Roman"/>
          <w:sz w:val="30"/>
          <w:szCs w:val="30"/>
        </w:rPr>
      </w:pPr>
    </w:p>
    <w:p w:rsidR="001F11BD" w:rsidRPr="001F11BD" w:rsidRDefault="001F11BD">
      <w:pPr>
        <w:pStyle w:val="ConsPlusTitle"/>
        <w:jc w:val="center"/>
        <w:rPr>
          <w:rFonts w:ascii="Times New Roman" w:hAnsi="Times New Roman" w:cs="Times New Roman"/>
          <w:sz w:val="30"/>
          <w:szCs w:val="30"/>
        </w:rPr>
      </w:pPr>
      <w:r w:rsidRPr="001F11BD">
        <w:rPr>
          <w:rFonts w:ascii="Times New Roman" w:hAnsi="Times New Roman" w:cs="Times New Roman"/>
          <w:sz w:val="30"/>
          <w:szCs w:val="30"/>
        </w:rPr>
        <w:t>О КОНЦЕПЦИИ СОВЕРШЕНСТВОВАНИЯ И РАЗВИТИЯ ЖИЛИЩНО-КОММУНАЛЬНОГО ХОЗЯЙСТВА ДО 2025 ГОДА</w:t>
      </w:r>
    </w:p>
    <w:p w:rsidR="001F11BD" w:rsidRPr="001F11BD" w:rsidRDefault="001F11BD">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11BD" w:rsidRPr="001F11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11BD" w:rsidRPr="001F11BD" w:rsidRDefault="001F11BD">
            <w:pPr>
              <w:pStyle w:val="ConsPlusNormal"/>
              <w:jc w:val="center"/>
              <w:rPr>
                <w:rFonts w:ascii="Times New Roman" w:hAnsi="Times New Roman" w:cs="Times New Roman"/>
                <w:sz w:val="30"/>
                <w:szCs w:val="30"/>
              </w:rPr>
            </w:pPr>
            <w:proofErr w:type="gramStart"/>
            <w:r w:rsidRPr="001F11BD">
              <w:rPr>
                <w:rFonts w:ascii="Times New Roman" w:hAnsi="Times New Roman" w:cs="Times New Roman"/>
                <w:color w:val="392C69"/>
                <w:sz w:val="30"/>
                <w:szCs w:val="30"/>
              </w:rPr>
              <w:t xml:space="preserve">(в ред. постановлений Совмина от 02.07.2020 </w:t>
            </w:r>
            <w:hyperlink r:id="rId5">
              <w:r w:rsidRPr="001F11BD">
                <w:rPr>
                  <w:rFonts w:ascii="Times New Roman" w:hAnsi="Times New Roman" w:cs="Times New Roman"/>
                  <w:color w:val="0000FF"/>
                  <w:sz w:val="30"/>
                  <w:szCs w:val="30"/>
                </w:rPr>
                <w:t>N 391</w:t>
              </w:r>
            </w:hyperlink>
            <w:r w:rsidRPr="001F11BD">
              <w:rPr>
                <w:rFonts w:ascii="Times New Roman" w:hAnsi="Times New Roman" w:cs="Times New Roman"/>
                <w:color w:val="392C69"/>
                <w:sz w:val="30"/>
                <w:szCs w:val="30"/>
              </w:rPr>
              <w:t>,</w:t>
            </w:r>
            <w:proofErr w:type="gramEnd"/>
          </w:p>
          <w:p w:rsidR="001F11BD" w:rsidRPr="001F11BD" w:rsidRDefault="001F11BD">
            <w:pPr>
              <w:pStyle w:val="ConsPlusNormal"/>
              <w:jc w:val="center"/>
              <w:rPr>
                <w:rFonts w:ascii="Times New Roman" w:hAnsi="Times New Roman" w:cs="Times New Roman"/>
                <w:sz w:val="30"/>
                <w:szCs w:val="30"/>
              </w:rPr>
            </w:pPr>
            <w:r w:rsidRPr="001F11BD">
              <w:rPr>
                <w:rFonts w:ascii="Times New Roman" w:hAnsi="Times New Roman" w:cs="Times New Roman"/>
                <w:color w:val="392C69"/>
                <w:sz w:val="30"/>
                <w:szCs w:val="30"/>
              </w:rPr>
              <w:t xml:space="preserve">от 07.12.2020 </w:t>
            </w:r>
            <w:hyperlink r:id="rId6">
              <w:r w:rsidRPr="001F11BD">
                <w:rPr>
                  <w:rFonts w:ascii="Times New Roman" w:hAnsi="Times New Roman" w:cs="Times New Roman"/>
                  <w:color w:val="0000FF"/>
                  <w:sz w:val="30"/>
                  <w:szCs w:val="30"/>
                </w:rPr>
                <w:t>N 711</w:t>
              </w:r>
            </w:hyperlink>
            <w:r w:rsidRPr="001F11BD">
              <w:rPr>
                <w:rFonts w:ascii="Times New Roman" w:hAnsi="Times New Roman" w:cs="Times New Roman"/>
                <w:color w:val="392C69"/>
                <w:sz w:val="30"/>
                <w:szCs w:val="30"/>
              </w:rPr>
              <w:t xml:space="preserve">, от 04.09.2024 </w:t>
            </w:r>
            <w:hyperlink r:id="rId7">
              <w:r w:rsidRPr="001F11BD">
                <w:rPr>
                  <w:rFonts w:ascii="Times New Roman" w:hAnsi="Times New Roman" w:cs="Times New Roman"/>
                  <w:color w:val="0000FF"/>
                  <w:sz w:val="30"/>
                  <w:szCs w:val="30"/>
                </w:rPr>
                <w:t>N 650</w:t>
              </w:r>
            </w:hyperlink>
            <w:r w:rsidRPr="001F11BD">
              <w:rPr>
                <w:rFonts w:ascii="Times New Roman" w:hAnsi="Times New Roman" w:cs="Times New Roman"/>
                <w:color w:val="392C69"/>
                <w:sz w:val="30"/>
                <w:szCs w:val="30"/>
              </w:rPr>
              <w:t xml:space="preserve">, от 11.11.2024 </w:t>
            </w:r>
            <w:hyperlink r:id="rId8">
              <w:r w:rsidRPr="001F11BD">
                <w:rPr>
                  <w:rFonts w:ascii="Times New Roman" w:hAnsi="Times New Roman" w:cs="Times New Roman"/>
                  <w:color w:val="0000FF"/>
                  <w:sz w:val="30"/>
                  <w:szCs w:val="30"/>
                </w:rPr>
                <w:t>N 825</w:t>
              </w:r>
            </w:hyperlink>
            <w:r w:rsidRPr="001F11BD">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r>
    </w:tbl>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В соответствии с абзацем шестым подпункта 2.1 пункта 2 протокола поручений Президента Республики Беларусь Лукашенко А.Г., данных 20 октября 2017 г. в ходе республиканского семинара на тему "О совершенствовании и развитии жилищно-коммунального хозяйства страны", от 21 декабря 2017 г. N 34 Совет Министров Республики Беларусь ПОСТАНОВЛЯЕТ:</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1. Утвердить прилагаемую </w:t>
      </w:r>
      <w:hyperlink w:anchor="P32">
        <w:r w:rsidRPr="001F11BD">
          <w:rPr>
            <w:rFonts w:ascii="Times New Roman" w:hAnsi="Times New Roman" w:cs="Times New Roman"/>
            <w:color w:val="0000FF"/>
            <w:sz w:val="30"/>
            <w:szCs w:val="30"/>
          </w:rPr>
          <w:t>Концепцию</w:t>
        </w:r>
      </w:hyperlink>
      <w:r w:rsidRPr="001F11BD">
        <w:rPr>
          <w:rFonts w:ascii="Times New Roman" w:hAnsi="Times New Roman" w:cs="Times New Roman"/>
          <w:sz w:val="30"/>
          <w:szCs w:val="30"/>
        </w:rPr>
        <w:t xml:space="preserve"> совершенствования и развития жилищно-коммунального хозяйства до 2025 года (далее - Концепция).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2. Министерству жилищно-коммунального хозяйства: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2.1. обеспечить координацию деятельности государственных органов по реализации </w:t>
      </w:r>
      <w:hyperlink w:anchor="P32">
        <w:r w:rsidRPr="001F11BD">
          <w:rPr>
            <w:rFonts w:ascii="Times New Roman" w:hAnsi="Times New Roman" w:cs="Times New Roman"/>
            <w:color w:val="0000FF"/>
            <w:sz w:val="30"/>
            <w:szCs w:val="30"/>
          </w:rPr>
          <w:t>Концепции</w:t>
        </w:r>
      </w:hyperlink>
      <w:r w:rsidRPr="001F11BD">
        <w:rPr>
          <w:rFonts w:ascii="Times New Roman" w:hAnsi="Times New Roman" w:cs="Times New Roman"/>
          <w:sz w:val="30"/>
          <w:szCs w:val="30"/>
        </w:rPr>
        <w:t>;</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2.2. совместно с облисполкомами и Минским горисполкомом, другими заинтересованными: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в месячный срок разработать и внести в Совет Министров Республики Беларусь план мероприятий по реализации </w:t>
      </w:r>
      <w:hyperlink w:anchor="P32">
        <w:r w:rsidRPr="001F11BD">
          <w:rPr>
            <w:rFonts w:ascii="Times New Roman" w:hAnsi="Times New Roman" w:cs="Times New Roman"/>
            <w:color w:val="0000FF"/>
            <w:sz w:val="30"/>
            <w:szCs w:val="30"/>
          </w:rPr>
          <w:t>Концепции</w:t>
        </w:r>
      </w:hyperlink>
      <w:r w:rsidRPr="001F11BD">
        <w:rPr>
          <w:rFonts w:ascii="Times New Roman" w:hAnsi="Times New Roman" w:cs="Times New Roman"/>
          <w:sz w:val="30"/>
          <w:szCs w:val="30"/>
        </w:rPr>
        <w:t>;</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ежегодно до 15 февраля года, следующего </w:t>
      </w:r>
      <w:proofErr w:type="gramStart"/>
      <w:r w:rsidRPr="001F11BD">
        <w:rPr>
          <w:rFonts w:ascii="Times New Roman" w:hAnsi="Times New Roman" w:cs="Times New Roman"/>
          <w:sz w:val="30"/>
          <w:szCs w:val="30"/>
        </w:rPr>
        <w:t>за</w:t>
      </w:r>
      <w:proofErr w:type="gramEnd"/>
      <w:r w:rsidRPr="001F11BD">
        <w:rPr>
          <w:rFonts w:ascii="Times New Roman" w:hAnsi="Times New Roman" w:cs="Times New Roman"/>
          <w:sz w:val="30"/>
          <w:szCs w:val="30"/>
        </w:rPr>
        <w:t xml:space="preserve"> </w:t>
      </w:r>
      <w:proofErr w:type="gramStart"/>
      <w:r w:rsidRPr="001F11BD">
        <w:rPr>
          <w:rFonts w:ascii="Times New Roman" w:hAnsi="Times New Roman" w:cs="Times New Roman"/>
          <w:sz w:val="30"/>
          <w:szCs w:val="30"/>
        </w:rPr>
        <w:t>отчетным</w:t>
      </w:r>
      <w:proofErr w:type="gramEnd"/>
      <w:r w:rsidRPr="001F11BD">
        <w:rPr>
          <w:rFonts w:ascii="Times New Roman" w:hAnsi="Times New Roman" w:cs="Times New Roman"/>
          <w:sz w:val="30"/>
          <w:szCs w:val="30"/>
        </w:rPr>
        <w:t xml:space="preserve">, представлять в Совет Министров Республики Беларусь информацию о ходе выполнения </w:t>
      </w:r>
      <w:hyperlink w:anchor="P32">
        <w:r w:rsidRPr="001F11BD">
          <w:rPr>
            <w:rFonts w:ascii="Times New Roman" w:hAnsi="Times New Roman" w:cs="Times New Roman"/>
            <w:color w:val="0000FF"/>
            <w:sz w:val="30"/>
            <w:szCs w:val="30"/>
          </w:rPr>
          <w:t>Концепции</w:t>
        </w:r>
      </w:hyperlink>
      <w:r w:rsidRPr="001F11BD">
        <w:rPr>
          <w:rFonts w:ascii="Times New Roman" w:hAnsi="Times New Roman" w:cs="Times New Roman"/>
          <w:sz w:val="30"/>
          <w:szCs w:val="30"/>
        </w:rPr>
        <w:t>.</w:t>
      </w:r>
    </w:p>
    <w:p w:rsidR="001F11BD" w:rsidRPr="001F11BD" w:rsidRDefault="001F11BD">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11BD" w:rsidRPr="001F11BD">
        <w:tc>
          <w:tcPr>
            <w:tcW w:w="4677" w:type="dxa"/>
            <w:tcBorders>
              <w:top w:val="nil"/>
              <w:left w:val="nil"/>
              <w:bottom w:val="nil"/>
              <w:right w:val="nil"/>
            </w:tcBorders>
          </w:tcPr>
          <w:p w:rsidR="001F11BD" w:rsidRPr="001F11BD" w:rsidRDefault="001F11BD">
            <w:pPr>
              <w:pStyle w:val="ConsPlusNormal"/>
              <w:rPr>
                <w:rFonts w:ascii="Times New Roman" w:hAnsi="Times New Roman" w:cs="Times New Roman"/>
                <w:sz w:val="30"/>
                <w:szCs w:val="30"/>
              </w:rPr>
            </w:pPr>
            <w:r w:rsidRPr="001F11BD">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1F11BD" w:rsidRPr="001F11BD" w:rsidRDefault="001F11BD">
            <w:pPr>
              <w:pStyle w:val="ConsPlusNormal"/>
              <w:jc w:val="right"/>
              <w:rPr>
                <w:rFonts w:ascii="Times New Roman" w:hAnsi="Times New Roman" w:cs="Times New Roman"/>
                <w:sz w:val="30"/>
                <w:szCs w:val="30"/>
              </w:rPr>
            </w:pPr>
            <w:proofErr w:type="spellStart"/>
            <w:r w:rsidRPr="001F11BD">
              <w:rPr>
                <w:rFonts w:ascii="Times New Roman" w:hAnsi="Times New Roman" w:cs="Times New Roman"/>
                <w:sz w:val="30"/>
                <w:szCs w:val="30"/>
              </w:rPr>
              <w:t>А.Кобяков</w:t>
            </w:r>
            <w:proofErr w:type="spellEnd"/>
          </w:p>
        </w:tc>
      </w:tr>
    </w:tbl>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nformat"/>
        <w:jc w:val="both"/>
        <w:rPr>
          <w:rFonts w:ascii="Times New Roman" w:hAnsi="Times New Roman" w:cs="Times New Roman"/>
          <w:sz w:val="30"/>
          <w:szCs w:val="30"/>
        </w:rPr>
      </w:pPr>
      <w:r w:rsidRPr="001F11BD">
        <w:rPr>
          <w:rFonts w:ascii="Times New Roman" w:hAnsi="Times New Roman" w:cs="Times New Roman"/>
          <w:sz w:val="30"/>
          <w:szCs w:val="30"/>
        </w:rPr>
        <w:t xml:space="preserve">                                                        УТВЕРЖДЕНО</w:t>
      </w:r>
    </w:p>
    <w:p w:rsidR="001F11BD" w:rsidRPr="001F11BD" w:rsidRDefault="001F11BD">
      <w:pPr>
        <w:pStyle w:val="ConsPlusNonformat"/>
        <w:jc w:val="both"/>
        <w:rPr>
          <w:rFonts w:ascii="Times New Roman" w:hAnsi="Times New Roman" w:cs="Times New Roman"/>
          <w:sz w:val="30"/>
          <w:szCs w:val="30"/>
        </w:rPr>
      </w:pPr>
      <w:r w:rsidRPr="001F11BD">
        <w:rPr>
          <w:rFonts w:ascii="Times New Roman" w:hAnsi="Times New Roman" w:cs="Times New Roman"/>
          <w:sz w:val="30"/>
          <w:szCs w:val="30"/>
        </w:rPr>
        <w:t xml:space="preserve">                                                        Постановление</w:t>
      </w:r>
    </w:p>
    <w:p w:rsidR="001F11BD" w:rsidRPr="001F11BD" w:rsidRDefault="001F11BD">
      <w:pPr>
        <w:pStyle w:val="ConsPlusNonformat"/>
        <w:jc w:val="both"/>
        <w:rPr>
          <w:rFonts w:ascii="Times New Roman" w:hAnsi="Times New Roman" w:cs="Times New Roman"/>
          <w:sz w:val="30"/>
          <w:szCs w:val="30"/>
        </w:rPr>
      </w:pPr>
      <w:r w:rsidRPr="001F11BD">
        <w:rPr>
          <w:rFonts w:ascii="Times New Roman" w:hAnsi="Times New Roman" w:cs="Times New Roman"/>
          <w:sz w:val="30"/>
          <w:szCs w:val="30"/>
        </w:rPr>
        <w:t xml:space="preserve">                                                        Совета Министров</w:t>
      </w:r>
    </w:p>
    <w:p w:rsidR="001F11BD" w:rsidRPr="001F11BD" w:rsidRDefault="001F11BD">
      <w:pPr>
        <w:pStyle w:val="ConsPlusNonformat"/>
        <w:jc w:val="both"/>
        <w:rPr>
          <w:rFonts w:ascii="Times New Roman" w:hAnsi="Times New Roman" w:cs="Times New Roman"/>
          <w:sz w:val="30"/>
          <w:szCs w:val="30"/>
        </w:rPr>
      </w:pPr>
      <w:r w:rsidRPr="001F11BD">
        <w:rPr>
          <w:rFonts w:ascii="Times New Roman" w:hAnsi="Times New Roman" w:cs="Times New Roman"/>
          <w:sz w:val="30"/>
          <w:szCs w:val="30"/>
        </w:rPr>
        <w:t xml:space="preserve">                                                        Республики Беларусь</w:t>
      </w:r>
    </w:p>
    <w:p w:rsidR="001F11BD" w:rsidRPr="001F11BD" w:rsidRDefault="001F11BD">
      <w:pPr>
        <w:pStyle w:val="ConsPlusNonformat"/>
        <w:jc w:val="both"/>
        <w:rPr>
          <w:rFonts w:ascii="Times New Roman" w:hAnsi="Times New Roman" w:cs="Times New Roman"/>
          <w:sz w:val="30"/>
          <w:szCs w:val="30"/>
        </w:rPr>
      </w:pPr>
      <w:r w:rsidRPr="001F11BD">
        <w:rPr>
          <w:rFonts w:ascii="Times New Roman" w:hAnsi="Times New Roman" w:cs="Times New Roman"/>
          <w:sz w:val="30"/>
          <w:szCs w:val="30"/>
        </w:rPr>
        <w:t xml:space="preserve">                                                        29.12.2017 N 1037</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Title"/>
        <w:jc w:val="center"/>
        <w:rPr>
          <w:rFonts w:ascii="Times New Roman" w:hAnsi="Times New Roman" w:cs="Times New Roman"/>
          <w:sz w:val="30"/>
          <w:szCs w:val="30"/>
        </w:rPr>
      </w:pPr>
      <w:bookmarkStart w:id="0" w:name="P32"/>
      <w:bookmarkEnd w:id="0"/>
      <w:r w:rsidRPr="001F11BD">
        <w:rPr>
          <w:rFonts w:ascii="Times New Roman" w:hAnsi="Times New Roman" w:cs="Times New Roman"/>
          <w:sz w:val="30"/>
          <w:szCs w:val="30"/>
        </w:rPr>
        <w:t>КОНЦЕПЦИЯ</w:t>
      </w:r>
    </w:p>
    <w:p w:rsidR="001F11BD" w:rsidRPr="001F11BD" w:rsidRDefault="001F11BD">
      <w:pPr>
        <w:pStyle w:val="ConsPlusTitle"/>
        <w:jc w:val="center"/>
        <w:rPr>
          <w:rFonts w:ascii="Times New Roman" w:hAnsi="Times New Roman" w:cs="Times New Roman"/>
          <w:sz w:val="30"/>
          <w:szCs w:val="30"/>
        </w:rPr>
      </w:pPr>
      <w:r w:rsidRPr="001F11BD">
        <w:rPr>
          <w:rFonts w:ascii="Times New Roman" w:hAnsi="Times New Roman" w:cs="Times New Roman"/>
          <w:sz w:val="30"/>
          <w:szCs w:val="30"/>
        </w:rPr>
        <w:t>СОВЕРШЕНСТВОВАНИЯ И РАЗВИТИЯ ЖИЛИЩНО-КОММУНАЛЬНОГО ХОЗЯЙСТВА ДО 2025 ГОДА</w:t>
      </w:r>
    </w:p>
    <w:p w:rsidR="001F11BD" w:rsidRPr="001F11BD" w:rsidRDefault="001F11BD">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11BD" w:rsidRPr="001F11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11BD" w:rsidRPr="001F11BD" w:rsidRDefault="001F11BD">
            <w:pPr>
              <w:pStyle w:val="ConsPlusNormal"/>
              <w:jc w:val="center"/>
              <w:rPr>
                <w:rFonts w:ascii="Times New Roman" w:hAnsi="Times New Roman" w:cs="Times New Roman"/>
                <w:sz w:val="30"/>
                <w:szCs w:val="30"/>
              </w:rPr>
            </w:pPr>
            <w:proofErr w:type="gramStart"/>
            <w:r w:rsidRPr="001F11BD">
              <w:rPr>
                <w:rFonts w:ascii="Times New Roman" w:hAnsi="Times New Roman" w:cs="Times New Roman"/>
                <w:color w:val="392C69"/>
                <w:sz w:val="30"/>
                <w:szCs w:val="30"/>
              </w:rPr>
              <w:t xml:space="preserve">(в ред. постановлений Совмина от 02.07.2020 </w:t>
            </w:r>
            <w:hyperlink r:id="rId9">
              <w:r w:rsidRPr="001F11BD">
                <w:rPr>
                  <w:rFonts w:ascii="Times New Roman" w:hAnsi="Times New Roman" w:cs="Times New Roman"/>
                  <w:color w:val="0000FF"/>
                  <w:sz w:val="30"/>
                  <w:szCs w:val="30"/>
                </w:rPr>
                <w:t>N 391</w:t>
              </w:r>
            </w:hyperlink>
            <w:r w:rsidRPr="001F11BD">
              <w:rPr>
                <w:rFonts w:ascii="Times New Roman" w:hAnsi="Times New Roman" w:cs="Times New Roman"/>
                <w:color w:val="392C69"/>
                <w:sz w:val="30"/>
                <w:szCs w:val="30"/>
              </w:rPr>
              <w:t>,</w:t>
            </w:r>
            <w:proofErr w:type="gramEnd"/>
          </w:p>
          <w:p w:rsidR="001F11BD" w:rsidRPr="001F11BD" w:rsidRDefault="001F11BD">
            <w:pPr>
              <w:pStyle w:val="ConsPlusNormal"/>
              <w:jc w:val="center"/>
              <w:rPr>
                <w:rFonts w:ascii="Times New Roman" w:hAnsi="Times New Roman" w:cs="Times New Roman"/>
                <w:sz w:val="30"/>
                <w:szCs w:val="30"/>
              </w:rPr>
            </w:pPr>
            <w:r w:rsidRPr="001F11BD">
              <w:rPr>
                <w:rFonts w:ascii="Times New Roman" w:hAnsi="Times New Roman" w:cs="Times New Roman"/>
                <w:color w:val="392C69"/>
                <w:sz w:val="30"/>
                <w:szCs w:val="30"/>
              </w:rPr>
              <w:t xml:space="preserve">от 07.12.2020 </w:t>
            </w:r>
            <w:hyperlink r:id="rId10">
              <w:r w:rsidRPr="001F11BD">
                <w:rPr>
                  <w:rFonts w:ascii="Times New Roman" w:hAnsi="Times New Roman" w:cs="Times New Roman"/>
                  <w:color w:val="0000FF"/>
                  <w:sz w:val="30"/>
                  <w:szCs w:val="30"/>
                </w:rPr>
                <w:t>N 711</w:t>
              </w:r>
            </w:hyperlink>
            <w:r w:rsidRPr="001F11BD">
              <w:rPr>
                <w:rFonts w:ascii="Times New Roman" w:hAnsi="Times New Roman" w:cs="Times New Roman"/>
                <w:color w:val="392C69"/>
                <w:sz w:val="30"/>
                <w:szCs w:val="30"/>
              </w:rPr>
              <w:t xml:space="preserve">, от 04.09.2024 </w:t>
            </w:r>
            <w:hyperlink r:id="rId11">
              <w:r w:rsidRPr="001F11BD">
                <w:rPr>
                  <w:rFonts w:ascii="Times New Roman" w:hAnsi="Times New Roman" w:cs="Times New Roman"/>
                  <w:color w:val="0000FF"/>
                  <w:sz w:val="30"/>
                  <w:szCs w:val="30"/>
                </w:rPr>
                <w:t>N 650</w:t>
              </w:r>
            </w:hyperlink>
            <w:r w:rsidRPr="001F11BD">
              <w:rPr>
                <w:rFonts w:ascii="Times New Roman" w:hAnsi="Times New Roman" w:cs="Times New Roman"/>
                <w:color w:val="392C69"/>
                <w:sz w:val="30"/>
                <w:szCs w:val="30"/>
              </w:rPr>
              <w:t xml:space="preserve">, от 11.11.2024 </w:t>
            </w:r>
            <w:hyperlink r:id="rId12">
              <w:r w:rsidRPr="001F11BD">
                <w:rPr>
                  <w:rFonts w:ascii="Times New Roman" w:hAnsi="Times New Roman" w:cs="Times New Roman"/>
                  <w:color w:val="0000FF"/>
                  <w:sz w:val="30"/>
                  <w:szCs w:val="30"/>
                </w:rPr>
                <w:t>N 825</w:t>
              </w:r>
            </w:hyperlink>
            <w:r w:rsidRPr="001F11BD">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r>
    </w:tbl>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jc w:val="center"/>
        <w:outlineLvl w:val="1"/>
        <w:rPr>
          <w:rFonts w:ascii="Times New Roman" w:hAnsi="Times New Roman" w:cs="Times New Roman"/>
          <w:sz w:val="30"/>
          <w:szCs w:val="30"/>
        </w:rPr>
      </w:pPr>
      <w:r w:rsidRPr="001F11BD">
        <w:rPr>
          <w:rFonts w:ascii="Times New Roman" w:hAnsi="Times New Roman" w:cs="Times New Roman"/>
          <w:b/>
          <w:sz w:val="30"/>
          <w:szCs w:val="30"/>
        </w:rPr>
        <w:t>ГЛАВА 1</w:t>
      </w:r>
    </w:p>
    <w:p w:rsidR="001F11BD" w:rsidRPr="001F11BD" w:rsidRDefault="001F11BD">
      <w:pPr>
        <w:pStyle w:val="ConsPlusNormal"/>
        <w:jc w:val="center"/>
        <w:rPr>
          <w:rFonts w:ascii="Times New Roman" w:hAnsi="Times New Roman" w:cs="Times New Roman"/>
          <w:sz w:val="30"/>
          <w:szCs w:val="30"/>
        </w:rPr>
      </w:pPr>
      <w:r w:rsidRPr="001F11BD">
        <w:rPr>
          <w:rFonts w:ascii="Times New Roman" w:hAnsi="Times New Roman" w:cs="Times New Roman"/>
          <w:b/>
          <w:sz w:val="30"/>
          <w:szCs w:val="30"/>
        </w:rPr>
        <w:t>ВВЕДЕНИЕ</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Жилищно-коммунальное хозяйство (далее - ЖКХ) - важнейшая многоотраслевая социально-экономическая сфера деятельности, целью которой является обеспечение комфортных условий для проживания граждан и создание благоприятной среды обитания.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 сферу Ж</w:t>
      </w:r>
      <w:proofErr w:type="gramStart"/>
      <w:r w:rsidRPr="001F11BD">
        <w:rPr>
          <w:rFonts w:ascii="Times New Roman" w:hAnsi="Times New Roman" w:cs="Times New Roman"/>
          <w:sz w:val="30"/>
          <w:szCs w:val="30"/>
        </w:rPr>
        <w:t>КХ вкл</w:t>
      </w:r>
      <w:proofErr w:type="gramEnd"/>
      <w:r w:rsidRPr="001F11BD">
        <w:rPr>
          <w:rFonts w:ascii="Times New Roman" w:hAnsi="Times New Roman" w:cs="Times New Roman"/>
          <w:sz w:val="30"/>
          <w:szCs w:val="30"/>
        </w:rPr>
        <w:t>ючены жилищное хозяйство, водоснабжение и водоотведение, теплоэнергетика, обращение с твердыми коммунальными отходами (далее - ТКО), благоустройство, санитарная очистка и озеленение населенных пунктов.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Ключевые аспекты работы ЖКХ рассмотрены 19 - 20 октября 2017 г. на республиканском семинаре на тему "О совершенствовании и развитии жилищно-коммунального хозяйства страны" с участием Президента Республики Беларусь. По результатам семинара были выработаны основные направления повышения эффективности работы ЖКХ, которые положены в основу Концепции совершенствования и развития жилищно-коммунального хозяйства до 2025 года (далее - Концепция).</w:t>
      </w:r>
    </w:p>
    <w:p w:rsidR="001F11BD" w:rsidRPr="001F11BD" w:rsidRDefault="001F11BD">
      <w:pPr>
        <w:pStyle w:val="ConsPlusNormal"/>
        <w:spacing w:before="220"/>
        <w:ind w:firstLine="540"/>
        <w:jc w:val="both"/>
        <w:rPr>
          <w:rFonts w:ascii="Times New Roman" w:hAnsi="Times New Roman" w:cs="Times New Roman"/>
          <w:sz w:val="30"/>
          <w:szCs w:val="30"/>
        </w:rPr>
      </w:pPr>
      <w:proofErr w:type="gramStart"/>
      <w:r w:rsidRPr="001F11BD">
        <w:rPr>
          <w:rFonts w:ascii="Times New Roman" w:hAnsi="Times New Roman" w:cs="Times New Roman"/>
          <w:sz w:val="30"/>
          <w:szCs w:val="30"/>
        </w:rPr>
        <w:t>Главой государства перед Правительством и местными органами власти поставлены конкретные задачи по решению имеющихся проблем в ЖКХ (совершенствование структуры управления отраслью, проведение тарифной политики, использование местных видов топлива в теплоэнергетике, тепловая модернизация жилищного фонда, замена лифтового оборудования в жилых домах, улучшение качества питьевой воды, наведение порядка на полигонах ТКО и внедрение новых подходов к обращению с ТКО).</w:t>
      </w:r>
      <w:proofErr w:type="gramEnd"/>
    </w:p>
    <w:p w:rsidR="001F11BD" w:rsidRPr="001F11BD" w:rsidRDefault="001F11BD">
      <w:pPr>
        <w:pStyle w:val="ConsPlusNormal"/>
        <w:spacing w:before="220"/>
        <w:ind w:firstLine="540"/>
        <w:jc w:val="both"/>
        <w:rPr>
          <w:rFonts w:ascii="Times New Roman" w:hAnsi="Times New Roman" w:cs="Times New Roman"/>
          <w:sz w:val="30"/>
          <w:szCs w:val="30"/>
        </w:rPr>
      </w:pPr>
      <w:proofErr w:type="gramStart"/>
      <w:r w:rsidRPr="001F11BD">
        <w:rPr>
          <w:rFonts w:ascii="Times New Roman" w:hAnsi="Times New Roman" w:cs="Times New Roman"/>
          <w:sz w:val="30"/>
          <w:szCs w:val="30"/>
        </w:rPr>
        <w:t xml:space="preserve">При подготовке Концепции использованы приоритеты развития ЖКХ, отраженные в </w:t>
      </w:r>
      <w:hyperlink r:id="rId13">
        <w:r w:rsidRPr="001F11BD">
          <w:rPr>
            <w:rFonts w:ascii="Times New Roman" w:hAnsi="Times New Roman" w:cs="Times New Roman"/>
            <w:color w:val="0000FF"/>
            <w:sz w:val="30"/>
            <w:szCs w:val="30"/>
          </w:rPr>
          <w:t>Программе</w:t>
        </w:r>
      </w:hyperlink>
      <w:r w:rsidRPr="001F11BD">
        <w:rPr>
          <w:rFonts w:ascii="Times New Roman" w:hAnsi="Times New Roman" w:cs="Times New Roman"/>
          <w:sz w:val="30"/>
          <w:szCs w:val="30"/>
        </w:rPr>
        <w:t xml:space="preserve"> социально-экономического развития Республики Беларусь на 2016 - 2020 годы, утвержденной Указом Президента Республики Беларусь от 15 декабря 2016 г. N 466 (Национальный правовой Интернет-портал Республики Беларусь, 27.12.2016, 1/16792), Государственной </w:t>
      </w:r>
      <w:hyperlink r:id="rId14">
        <w:r w:rsidRPr="001F11BD">
          <w:rPr>
            <w:rFonts w:ascii="Times New Roman" w:hAnsi="Times New Roman" w:cs="Times New Roman"/>
            <w:color w:val="0000FF"/>
            <w:sz w:val="30"/>
            <w:szCs w:val="30"/>
          </w:rPr>
          <w:t>программе</w:t>
        </w:r>
      </w:hyperlink>
      <w:r w:rsidRPr="001F11BD">
        <w:rPr>
          <w:rFonts w:ascii="Times New Roman" w:hAnsi="Times New Roman" w:cs="Times New Roman"/>
          <w:sz w:val="30"/>
          <w:szCs w:val="30"/>
        </w:rPr>
        <w:t xml:space="preserve"> "Энергосбережение" на 2016 - 2020 годы, утвержденной постановлением Совета Министров Республики Беларусь от 28 марта 2016 г. N 248 (Национальный правовой</w:t>
      </w:r>
      <w:proofErr w:type="gramEnd"/>
      <w:r w:rsidRPr="001F11BD">
        <w:rPr>
          <w:rFonts w:ascii="Times New Roman" w:hAnsi="Times New Roman" w:cs="Times New Roman"/>
          <w:sz w:val="30"/>
          <w:szCs w:val="30"/>
        </w:rPr>
        <w:t xml:space="preserve"> Интернет-портал Республики Беларусь, 06.04.2016, 5/41892), Государственной </w:t>
      </w:r>
      <w:hyperlink r:id="rId15">
        <w:r w:rsidRPr="001F11BD">
          <w:rPr>
            <w:rFonts w:ascii="Times New Roman" w:hAnsi="Times New Roman" w:cs="Times New Roman"/>
            <w:color w:val="0000FF"/>
            <w:sz w:val="30"/>
            <w:szCs w:val="30"/>
          </w:rPr>
          <w:t>программе</w:t>
        </w:r>
      </w:hyperlink>
      <w:r w:rsidRPr="001F11BD">
        <w:rPr>
          <w:rFonts w:ascii="Times New Roman" w:hAnsi="Times New Roman" w:cs="Times New Roman"/>
          <w:sz w:val="30"/>
          <w:szCs w:val="30"/>
        </w:rPr>
        <w:t xml:space="preserve"> "Комфортное жилье и благоприятная среда" на 2016 - 2020 годы, утвержденной постановлением Совета Министров Республики Беларусь от 21 апреля 2016 г. N 326 (Национальный правовой Интернет-портал Республики Беларусь, 19.05.2016, 5/42062).</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Цель Концепции - определение направлений дальнейшего развития и механизмов совершенствования ЖКХ на среднесрочную перспективу для предоставления качественных жилищно-коммунальных услуг (далее - ЖКУ) потребителям в целях обеспечения комфортных условий проживания.</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jc w:val="center"/>
        <w:outlineLvl w:val="1"/>
        <w:rPr>
          <w:rFonts w:ascii="Times New Roman" w:hAnsi="Times New Roman" w:cs="Times New Roman"/>
          <w:sz w:val="30"/>
          <w:szCs w:val="30"/>
        </w:rPr>
      </w:pPr>
      <w:r w:rsidRPr="001F11BD">
        <w:rPr>
          <w:rFonts w:ascii="Times New Roman" w:hAnsi="Times New Roman" w:cs="Times New Roman"/>
          <w:b/>
          <w:sz w:val="30"/>
          <w:szCs w:val="30"/>
        </w:rPr>
        <w:t>ГЛАВА 2</w:t>
      </w:r>
    </w:p>
    <w:p w:rsidR="001F11BD" w:rsidRPr="001F11BD" w:rsidRDefault="001F11BD">
      <w:pPr>
        <w:pStyle w:val="ConsPlusNormal"/>
        <w:jc w:val="center"/>
        <w:rPr>
          <w:rFonts w:ascii="Times New Roman" w:hAnsi="Times New Roman" w:cs="Times New Roman"/>
          <w:sz w:val="30"/>
          <w:szCs w:val="30"/>
        </w:rPr>
      </w:pPr>
      <w:r w:rsidRPr="001F11BD">
        <w:rPr>
          <w:rFonts w:ascii="Times New Roman" w:hAnsi="Times New Roman" w:cs="Times New Roman"/>
          <w:b/>
          <w:sz w:val="30"/>
          <w:szCs w:val="30"/>
        </w:rPr>
        <w:t>ОБЩАЯ ХАРАКТЕРИСТИКА СИСТЕМЫ ЖКХ</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Осуществление государственного регулирования деятельности, формирование и реализация государственной политики в </w:t>
      </w:r>
      <w:proofErr w:type="gramStart"/>
      <w:r w:rsidRPr="001F11BD">
        <w:rPr>
          <w:rFonts w:ascii="Times New Roman" w:hAnsi="Times New Roman" w:cs="Times New Roman"/>
          <w:sz w:val="30"/>
          <w:szCs w:val="30"/>
        </w:rPr>
        <w:t>ЖКХ</w:t>
      </w:r>
      <w:proofErr w:type="gramEnd"/>
      <w:r w:rsidRPr="001F11BD">
        <w:rPr>
          <w:rFonts w:ascii="Times New Roman" w:hAnsi="Times New Roman" w:cs="Times New Roman"/>
          <w:sz w:val="30"/>
          <w:szCs w:val="30"/>
        </w:rPr>
        <w:t xml:space="preserve"> и координация деятельности в этой сфере других государственных органов и организаций возложены на Министерство жилищно-коммунального хозяйства.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Структура управления Ж</w:t>
      </w:r>
      <w:proofErr w:type="gramStart"/>
      <w:r w:rsidRPr="001F11BD">
        <w:rPr>
          <w:rFonts w:ascii="Times New Roman" w:hAnsi="Times New Roman" w:cs="Times New Roman"/>
          <w:sz w:val="30"/>
          <w:szCs w:val="30"/>
        </w:rPr>
        <w:t>КХ вкл</w:t>
      </w:r>
      <w:proofErr w:type="gramEnd"/>
      <w:r w:rsidRPr="001F11BD">
        <w:rPr>
          <w:rFonts w:ascii="Times New Roman" w:hAnsi="Times New Roman" w:cs="Times New Roman"/>
          <w:sz w:val="30"/>
          <w:szCs w:val="30"/>
        </w:rPr>
        <w:t>ючает в себя Министерство жилищно-коммунального хозяйства, соответствующие структурные подразделения местных исполнительных и распорядительных органов, государственные объединения, республиканские (кроме организаций, входящих в систему Министерства энергетики), областные, городские и районные коммунальные унитарные предприятия.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 настоящее время на обслуживании организаций ЖКХ находится 113,8 млн. кв. метров жилья, 3824 коммунальные котельные, 15,8 тыс. километров тепловых сетей, 10 197 артезианских скважин, 1300 очистных сооружений канализации, 598 станций обезжелезивания, 38,2 тыс. километров водопроводных и 18,5 тыс. километров канализационных сетей, 63,1 тыс. километров улично-дорожной сети.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Инфраструктура ЖКХ находится в собственности административно-территориальных единиц. Местные исполнительные и распорядительные органы в соответствии с законодательством обеспечивают:</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эффективное управление коммунальной собственностью;</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комплексное развитие жилищного фонда, осуществляют управление им и </w:t>
      </w:r>
      <w:proofErr w:type="gramStart"/>
      <w:r w:rsidRPr="001F11BD">
        <w:rPr>
          <w:rFonts w:ascii="Times New Roman" w:hAnsi="Times New Roman" w:cs="Times New Roman"/>
          <w:sz w:val="30"/>
          <w:szCs w:val="30"/>
        </w:rPr>
        <w:t>контроль за</w:t>
      </w:r>
      <w:proofErr w:type="gramEnd"/>
      <w:r w:rsidRPr="001F11BD">
        <w:rPr>
          <w:rFonts w:ascii="Times New Roman" w:hAnsi="Times New Roman" w:cs="Times New Roman"/>
          <w:sz w:val="30"/>
          <w:szCs w:val="30"/>
        </w:rPr>
        <w:t xml:space="preserve"> эксплуатацией;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условия для развития конкурентных (рыночных) отношений в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газ</w:t>
      </w:r>
      <w:proofErr w:type="gramStart"/>
      <w:r w:rsidRPr="001F11BD">
        <w:rPr>
          <w:rFonts w:ascii="Times New Roman" w:hAnsi="Times New Roman" w:cs="Times New Roman"/>
          <w:sz w:val="30"/>
          <w:szCs w:val="30"/>
        </w:rPr>
        <w:t>о-</w:t>
      </w:r>
      <w:proofErr w:type="gramEnd"/>
      <w:r w:rsidRPr="001F11BD">
        <w:rPr>
          <w:rFonts w:ascii="Times New Roman" w:hAnsi="Times New Roman" w:cs="Times New Roman"/>
          <w:sz w:val="30"/>
          <w:szCs w:val="30"/>
        </w:rPr>
        <w:t>, электро-, тепло- и водоснабжение, водоотведение, снабжение граждан топливом и оказание иных ЖКУ на соответствующей территории;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разработку и реализацию целевых территориальных программ и планов мероприятий по развитию инфраструктуры.</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 результате проделанной государственными органами и организациями ЖКХ работы по сравнению с 2010 годом в 2016 году: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выросли инвестиции в ЖКХ в 1,46 раза;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увеличился объем капитального ремонта жилищного фонда с 1,38 млн. до 2,37 млн. кв. метров общей площади жилых домов, или в 1,7 раза;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снизились затраты на оказание ЖКУ на 634,77 млн. рублей;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уменьшились потери тепловой энергии, произведенной организациями ЖКХ, при ее транспортировке с 20,6 процента до 12 процентов, воды с 22,4 до 17,8 процента;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увеличилась доля местных видов топлива в топливном балансе организаций ЖКХ с 28,8 до 40,7 процента;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вырос уровень использования ТКО с 9 процентов до 15,8 процента, или в 1,76 раза.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Износ основных средств ЖКХ, участвующих в производственном процессе, в 2016 году составлял 40,4 процента.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Вместе с тем в ЖКХ имеются проблемы, требующие решения, в том числе:</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недостаточное качество питьевой воды в отдельных сельских населенных пунктах;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невысокая эффективность систем теплоснабжения;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износ очистных сооружений водоснабжения и водоотведения;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недостаточные объемы ремонта жилищного фонда, лифтового оборудования, систем водоснабжения и водоотведения;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высокое энергопотребление эксплуатируемых жилых домов;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эксплуатация организациями ЖКХ непрофильных объектов и выполнение ими несвойственных функций;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низкая технологическая дисциплина, неритмичность финансирования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низкий уровень мотивации и престижности работы в ЖКХ, нехватка квалифицированных управленческих кадров;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небольшая инвестиционная привлекательность ЖКХ.</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jc w:val="center"/>
        <w:outlineLvl w:val="1"/>
        <w:rPr>
          <w:rFonts w:ascii="Times New Roman" w:hAnsi="Times New Roman" w:cs="Times New Roman"/>
          <w:sz w:val="30"/>
          <w:szCs w:val="30"/>
        </w:rPr>
      </w:pPr>
      <w:r w:rsidRPr="001F11BD">
        <w:rPr>
          <w:rFonts w:ascii="Times New Roman" w:hAnsi="Times New Roman" w:cs="Times New Roman"/>
          <w:b/>
          <w:sz w:val="30"/>
          <w:szCs w:val="30"/>
        </w:rPr>
        <w:t>ГЛАВА 3</w:t>
      </w:r>
    </w:p>
    <w:p w:rsidR="001F11BD" w:rsidRPr="001F11BD" w:rsidRDefault="001F11BD">
      <w:pPr>
        <w:pStyle w:val="ConsPlusNormal"/>
        <w:jc w:val="center"/>
        <w:rPr>
          <w:rFonts w:ascii="Times New Roman" w:hAnsi="Times New Roman" w:cs="Times New Roman"/>
          <w:sz w:val="30"/>
          <w:szCs w:val="30"/>
        </w:rPr>
      </w:pPr>
      <w:r w:rsidRPr="001F11BD">
        <w:rPr>
          <w:rFonts w:ascii="Times New Roman" w:hAnsi="Times New Roman" w:cs="Times New Roman"/>
          <w:b/>
          <w:sz w:val="30"/>
          <w:szCs w:val="30"/>
        </w:rPr>
        <w:t>НАПРАВЛЕНИЯ ДАЛЬНЕЙШЕГО РАЗВИТИЯ СИСТЕМЫ ЖКХ И МЕХАНИЗМЫ ЕЕ СОВЕРШЕНСТВОВАНИЯ</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Для решения проблем сферы ЖКХ Концепцией определяются следующие важнейшие направления совершенствования и развития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1) повышение качества ЖКУ, эффективности использования жилищного фонда и инфраструктуры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2) снижение затрат на предоставление населению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3) совершенствование системы обращения с ТКО и вторичными материальными ресурсами (далее - ВМР);</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4) поддержание и дальнейшее улучшение благоустройства населенных пунктов;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5) совершенствование системы социальной защиты населения и тарифной политики в сфере оказания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6) совершенствование системы финансирования ЖКХ и привлечение инвестиций в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7) научное обеспечение развития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8) повышение эффективности структуры управления, создание позитивного имиджа и престижности работы в сфере ЖКХ.</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outlineLvl w:val="2"/>
        <w:rPr>
          <w:rFonts w:ascii="Times New Roman" w:hAnsi="Times New Roman" w:cs="Times New Roman"/>
          <w:sz w:val="30"/>
          <w:szCs w:val="30"/>
        </w:rPr>
      </w:pPr>
      <w:r w:rsidRPr="001F11BD">
        <w:rPr>
          <w:rFonts w:ascii="Times New Roman" w:hAnsi="Times New Roman" w:cs="Times New Roman"/>
          <w:b/>
          <w:sz w:val="30"/>
          <w:szCs w:val="30"/>
        </w:rPr>
        <w:t>1. Повышение качества ЖКУ, эффективности использования жилищного фонда и инфраструктуры ЖКХ</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В целях повышения качества предоставляемых населению ЖКУ необходимо решить следующие </w:t>
      </w:r>
      <w:r w:rsidRPr="001F11BD">
        <w:rPr>
          <w:rFonts w:ascii="Times New Roman" w:hAnsi="Times New Roman" w:cs="Times New Roman"/>
          <w:b/>
          <w:sz w:val="30"/>
          <w:szCs w:val="30"/>
        </w:rPr>
        <w:t>задачи</w:t>
      </w:r>
      <w:r w:rsidRPr="001F11BD">
        <w:rPr>
          <w:rFonts w:ascii="Times New Roman" w:hAnsi="Times New Roman" w:cs="Times New Roman"/>
          <w:sz w:val="30"/>
          <w:szCs w:val="30"/>
        </w:rPr>
        <w:t>:</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использование индивидуального подхода к потребителю, своевременное реагирование и выполнение заявок граждан;</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надежное и бесперебойное предоставление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технологичности и автоматизации процессов при предоставлении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развитие и совершенствование информационных систем, обеспечивающих предоставление в режиме реального времени, в том числе через сеть Интернет, конкретному потребителю комплексной информации об оказании ЖКУ, порядке расчета и начисления платы за их оказание, формах социальной поддержки государства;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форм и методов работы с населением;</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эффективности технического обслуживания, капитального и текущего ремонта жилищного фонда и наращивание объемов ремонтных работ;</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снижение теплопотребления жилищного фонда;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обеспечение населения качественной питьевой водой;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обеспечение очистки сбрасываемых в водные объекты сточных вод в соответствии с требованиями нормативных правовых актов;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эффективности теплоснабжения путем оптимизации схем теплоснабжения населенных пунктов (централизация и децентрализация), модернизации котельного оборудования;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регламентирование сроков реагирования и устранения аварийных ситуаций;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удовлетворение спроса населения в предоставлении дополнительных ремонтно-строительных работ и услуг.</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поставленных задач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1) по работе с населением:</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автоматизированной информационной системы расчетов за потребленные населением жилищно-коммунальные и другие услуги (АИС "Расчет-ЖКУ") путем внедрения современных информационно-коммуникационных технологий и дополнительных информационных сервисов;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обеспечение доступности имеющихся информационных ресурсов для всех потребителей ЖКУ, в том числе путем создания и функционирования на всех уровнях справочно-диспетчерских служб и </w:t>
      </w:r>
      <w:proofErr w:type="gramStart"/>
      <w:r w:rsidRPr="001F11BD">
        <w:rPr>
          <w:rFonts w:ascii="Times New Roman" w:hAnsi="Times New Roman" w:cs="Times New Roman"/>
          <w:sz w:val="30"/>
          <w:szCs w:val="30"/>
        </w:rPr>
        <w:t>интернет-порталов</w:t>
      </w:r>
      <w:proofErr w:type="gramEnd"/>
      <w:r w:rsidRPr="001F11BD">
        <w:rPr>
          <w:rFonts w:ascii="Times New Roman" w:hAnsi="Times New Roman" w:cs="Times New Roman"/>
          <w:sz w:val="30"/>
          <w:szCs w:val="30"/>
        </w:rPr>
        <w:t>;</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создание и развитие школ коммунальной грамотности;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внедрение дистанционного съема показаний приборов индивидуального учета расхода газ</w:t>
      </w:r>
      <w:proofErr w:type="gramStart"/>
      <w:r w:rsidRPr="001F11BD">
        <w:rPr>
          <w:rFonts w:ascii="Times New Roman" w:hAnsi="Times New Roman" w:cs="Times New Roman"/>
          <w:sz w:val="30"/>
          <w:szCs w:val="30"/>
        </w:rPr>
        <w:t>о-</w:t>
      </w:r>
      <w:proofErr w:type="gramEnd"/>
      <w:r w:rsidRPr="001F11BD">
        <w:rPr>
          <w:rFonts w:ascii="Times New Roman" w:hAnsi="Times New Roman" w:cs="Times New Roman"/>
          <w:sz w:val="30"/>
          <w:szCs w:val="30"/>
        </w:rPr>
        <w:t>, электро-, тепло- и водопотребления;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расширение информированности населения посредством практики использования социальной подотчетности;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2) по техническому обслуживанию жилищного фонда: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расширение практики предоставления услуг на конкурсной основе;</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организация действенного </w:t>
      </w:r>
      <w:proofErr w:type="gramStart"/>
      <w:r w:rsidRPr="001F11BD">
        <w:rPr>
          <w:rFonts w:ascii="Times New Roman" w:hAnsi="Times New Roman" w:cs="Times New Roman"/>
          <w:sz w:val="30"/>
          <w:szCs w:val="30"/>
        </w:rPr>
        <w:t>контроля за</w:t>
      </w:r>
      <w:proofErr w:type="gramEnd"/>
      <w:r w:rsidRPr="001F11BD">
        <w:rPr>
          <w:rFonts w:ascii="Times New Roman" w:hAnsi="Times New Roman" w:cs="Times New Roman"/>
          <w:sz w:val="30"/>
          <w:szCs w:val="30"/>
        </w:rPr>
        <w:t xml:space="preserve"> исполнением всего перечня установленных регламентных работ на основе внедренных технологических карт по сериям жилых домов;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организация технического обслуживания (комплексного обслуживания и ремонта) многопрофильными специалистами-рабочими зданий и сооружений;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приведение до 2020 года в надлежащее техническое состояние лифтового хозяйства в жилых домах;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3) по текущему и капитальному ремонту: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предоставление услуг по текущему и капитальному ремонту общего имущества совместного домовладения на конкурсной основе, сокращение затрат на производство ремонтных работ;</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технологий и сокращение сроков производства работ;</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расширение перечня работ по текущему ремонту жилых домов, выполняемых за счет средств собственников жилых помещений, и постепенный переход к полному финансированию этих работ собственниками;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ежегодное увеличение объемов капитального ремонта до 3 процентов от эксплуатируемой площади жилищного фонда;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4) по тепловой модернизации жилищного фонда: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создание механизмов реализации </w:t>
      </w:r>
      <w:proofErr w:type="spellStart"/>
      <w:r w:rsidRPr="001F11BD">
        <w:rPr>
          <w:rFonts w:ascii="Times New Roman" w:hAnsi="Times New Roman" w:cs="Times New Roman"/>
          <w:sz w:val="30"/>
          <w:szCs w:val="30"/>
        </w:rPr>
        <w:t>энергоэффективных</w:t>
      </w:r>
      <w:proofErr w:type="spellEnd"/>
      <w:r w:rsidRPr="001F11BD">
        <w:rPr>
          <w:rFonts w:ascii="Times New Roman" w:hAnsi="Times New Roman" w:cs="Times New Roman"/>
          <w:sz w:val="30"/>
          <w:szCs w:val="30"/>
        </w:rPr>
        <w:t xml:space="preserve"> мероприятий в жилых домах;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организация поквартирного приборного учета и регулирования расхода тепловой энергии в эксплуатируемом жилищном фонде в случае технической возможности и экономической целесообразности;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5) по водоснабжению и водоотведению:</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усиление контролирующей роли органов государственного управления в обеспечении населения качественной водой (питьевой и бутилированной);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развитие систем централизованного водоснабжения и водоотведения, строительство в регионах с учетом экономической эффективности очистных сооружений вместо полей фильтрации, замена сетей водоснабжения и водоотведения со сверхнормативными сроками службы;</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оптимизация схем водоснабжения в сельских населенных пунктах;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обеспечение до 2025 года 100 процентов потребителей качественной питьевой водой;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разработка механизма привлечения населения к участию в строительстве централизованных систем водоснабжения и водоотведения;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внедрение современных методов диагностики состояния сетей водоснабжения и водоотведения, автоматизированных систем управления технологическими процессами;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создание методологических </w:t>
      </w:r>
      <w:proofErr w:type="gramStart"/>
      <w:r w:rsidRPr="001F11BD">
        <w:rPr>
          <w:rFonts w:ascii="Times New Roman" w:hAnsi="Times New Roman" w:cs="Times New Roman"/>
          <w:sz w:val="30"/>
          <w:szCs w:val="30"/>
        </w:rPr>
        <w:t>механизмов оценки уровня технического состояния предприятий</w:t>
      </w:r>
      <w:proofErr w:type="gramEnd"/>
      <w:r w:rsidRPr="001F11BD">
        <w:rPr>
          <w:rFonts w:ascii="Times New Roman" w:hAnsi="Times New Roman" w:cs="Times New Roman"/>
          <w:sz w:val="30"/>
          <w:szCs w:val="30"/>
        </w:rPr>
        <w:t xml:space="preserve"> водопроводно-канализационного хозяйства;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разработка республиканской стратегии по вопросам использования и обезвреживания осадков сточных вод;</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создание и внедрение геоинформационных систем;</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внедрение систем повторного использования воды на станциях обезжелезивания;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6) по теплоснабжению:</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оптимизация схем теплоснабжения населенных пунктов;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модернизация неэффективных </w:t>
      </w:r>
      <w:proofErr w:type="spellStart"/>
      <w:r w:rsidRPr="001F11BD">
        <w:rPr>
          <w:rFonts w:ascii="Times New Roman" w:hAnsi="Times New Roman" w:cs="Times New Roman"/>
          <w:sz w:val="30"/>
          <w:szCs w:val="30"/>
        </w:rPr>
        <w:t>энергоисточников</w:t>
      </w:r>
      <w:proofErr w:type="spellEnd"/>
      <w:r w:rsidRPr="001F11BD">
        <w:rPr>
          <w:rFonts w:ascii="Times New Roman" w:hAnsi="Times New Roman" w:cs="Times New Roman"/>
          <w:sz w:val="30"/>
          <w:szCs w:val="30"/>
        </w:rPr>
        <w:t xml:space="preserve"> организаций ЖКХ с выводом из эксплуатации котельного оборудования, выработавшего свой эксплуатационный ресурс, и его заменой на современное высокоэффективное оборудование, а также перевод котельных на местные виды топлива (щепа, торф);</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установление на республиканском уровне обязательных для применения всеми субъектами хозяйствования предельных цен на древесное топливо, а также осуществление его поставки для производства тепловой энергии по цене, привязанной к теплотворной способности;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7) по электро- и газоснабжению:</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эффективности производства электрической энергии и вывод из эксплуатации физически и морально устаревших источников;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надежности существующих сетей газоснабжения, в том числе за счет строительства (реконструкции) газопроводов, газорегуляторных пунктов и замены выработавшего свой ресурс технологического оборудования, модернизации технологических процессов, телемеханизации газорегуляторных пунктов, узлов учета природного газа с передачей информации на диспетчерские пункты газоснабжающих организаций.</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outlineLvl w:val="2"/>
        <w:rPr>
          <w:rFonts w:ascii="Times New Roman" w:hAnsi="Times New Roman" w:cs="Times New Roman"/>
          <w:sz w:val="30"/>
          <w:szCs w:val="30"/>
        </w:rPr>
      </w:pPr>
      <w:r w:rsidRPr="001F11BD">
        <w:rPr>
          <w:rFonts w:ascii="Times New Roman" w:hAnsi="Times New Roman" w:cs="Times New Roman"/>
          <w:b/>
          <w:sz w:val="30"/>
          <w:szCs w:val="30"/>
        </w:rPr>
        <w:t>2. Снижение затрат на предоставление населению ЖКУ</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решения </w:t>
      </w:r>
      <w:r w:rsidRPr="001F11BD">
        <w:rPr>
          <w:rFonts w:ascii="Times New Roman" w:hAnsi="Times New Roman" w:cs="Times New Roman"/>
          <w:b/>
          <w:sz w:val="30"/>
          <w:szCs w:val="30"/>
        </w:rPr>
        <w:t>задачи</w:t>
      </w:r>
      <w:r w:rsidRPr="001F11BD">
        <w:rPr>
          <w:rFonts w:ascii="Times New Roman" w:hAnsi="Times New Roman" w:cs="Times New Roman"/>
          <w:sz w:val="30"/>
          <w:szCs w:val="30"/>
        </w:rPr>
        <w:t xml:space="preserve"> по снижению затрат на предоставление ЖКУ населению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выполнение мероприятий по энергосбережению, внедрение прогрессивных </w:t>
      </w:r>
      <w:proofErr w:type="spellStart"/>
      <w:r w:rsidRPr="001F11BD">
        <w:rPr>
          <w:rFonts w:ascii="Times New Roman" w:hAnsi="Times New Roman" w:cs="Times New Roman"/>
          <w:sz w:val="30"/>
          <w:szCs w:val="30"/>
        </w:rPr>
        <w:t>энерго</w:t>
      </w:r>
      <w:proofErr w:type="spellEnd"/>
      <w:r w:rsidRPr="001F11BD">
        <w:rPr>
          <w:rFonts w:ascii="Times New Roman" w:hAnsi="Times New Roman" w:cs="Times New Roman"/>
          <w:sz w:val="30"/>
          <w:szCs w:val="30"/>
        </w:rPr>
        <w:t>- и ресурсосберегающих технологий, снижение расхода топливно-энергетических ресурсов;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сокращение технологических потерь воды и тепловой энергии;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снижение затрат на уплату процентов по кредитам, налоговой нагрузки и прочих затрат;</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неприменение местными Советами депутатов повышающих коэффициентов к ставкам налогов на землю и недвижимость в целях снижения налоговой составляющей в себестоимости услуг;</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выполнение мероприятий, направленных на пополнение оборотных средств организаций, снижение убытков от реализации по прочим видам деятельности;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снижение тарифов на электрическую энергию, используемую организациями ЖКХ при оказании услуг населению, в рамках проводимой работы по сокращению перекрестного субсидирования;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снижение технологического расхода на передачу (распределение) электрической энергии за счет строительства и реконструкции электрических сетей с применением современных технологий и оборудования;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оптимизация численности </w:t>
      </w:r>
      <w:proofErr w:type="gramStart"/>
      <w:r w:rsidRPr="001F11BD">
        <w:rPr>
          <w:rFonts w:ascii="Times New Roman" w:hAnsi="Times New Roman" w:cs="Times New Roman"/>
          <w:sz w:val="30"/>
          <w:szCs w:val="30"/>
        </w:rPr>
        <w:t>работающих</w:t>
      </w:r>
      <w:proofErr w:type="gramEnd"/>
      <w:r w:rsidRPr="001F11BD">
        <w:rPr>
          <w:rFonts w:ascii="Times New Roman" w:hAnsi="Times New Roman" w:cs="Times New Roman"/>
          <w:sz w:val="30"/>
          <w:szCs w:val="30"/>
        </w:rPr>
        <w:t>;</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сокращение накладных и непроизводительных расходов при предоставлении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порядка начисления амортизации с учетом инвестиционной составляющей в целях стимулирования организаций к проведению модернизации объектов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исключение выполнения организациями ЖКХ несвойственных функций, содержания непрофильных объектов.</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outlineLvl w:val="2"/>
        <w:rPr>
          <w:rFonts w:ascii="Times New Roman" w:hAnsi="Times New Roman" w:cs="Times New Roman"/>
          <w:sz w:val="30"/>
          <w:szCs w:val="30"/>
        </w:rPr>
      </w:pPr>
      <w:r w:rsidRPr="001F11BD">
        <w:rPr>
          <w:rFonts w:ascii="Times New Roman" w:hAnsi="Times New Roman" w:cs="Times New Roman"/>
          <w:b/>
          <w:sz w:val="30"/>
          <w:szCs w:val="30"/>
        </w:rPr>
        <w:t>3. Совершенствование системы обращения с ТКО и ВМР</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В республике созданы необходимые условия и инфраструктура для сбора, вывоза и использования ТКО. Системой раздельного сбора охвачено более 80 процентов населения страны. Уровень использования ТКО в 2016 году составил 15,8 процента. По этому показателю Республика Беларусь лидирует среди государств - участников Содружества Независимых Государств и фактически сравнялась с Испанией, Португалией и Финляндией, опередив Латвию и Словакию.</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Основные направления совершенствования системы обращения с ТКО определены в Национальной </w:t>
      </w:r>
      <w:hyperlink r:id="rId16">
        <w:r w:rsidRPr="001F11BD">
          <w:rPr>
            <w:rFonts w:ascii="Times New Roman" w:hAnsi="Times New Roman" w:cs="Times New Roman"/>
            <w:color w:val="0000FF"/>
            <w:sz w:val="30"/>
            <w:szCs w:val="30"/>
          </w:rPr>
          <w:t>стратегии</w:t>
        </w:r>
      </w:hyperlink>
      <w:r w:rsidRPr="001F11BD">
        <w:rPr>
          <w:rFonts w:ascii="Times New Roman" w:hAnsi="Times New Roman" w:cs="Times New Roman"/>
          <w:sz w:val="30"/>
          <w:szCs w:val="30"/>
        </w:rPr>
        <w:t xml:space="preserve"> по обращению с твердыми коммунальными отходами и вторичными материальными ресурсами в Республике Беларусь на период до 2035 года, утвержденной постановлением Совета Министров Республики Беларусь от 28 июля 2017 г. N 567 (Национальный правовой Интернет-портал Республики Беларусь, 05.08.2017, 5/44015).</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Основными </w:t>
      </w:r>
      <w:r w:rsidRPr="001F11BD">
        <w:rPr>
          <w:rFonts w:ascii="Times New Roman" w:hAnsi="Times New Roman" w:cs="Times New Roman"/>
          <w:b/>
          <w:sz w:val="30"/>
          <w:szCs w:val="30"/>
        </w:rPr>
        <w:t>задачами</w:t>
      </w:r>
      <w:r w:rsidRPr="001F11BD">
        <w:rPr>
          <w:rFonts w:ascii="Times New Roman" w:hAnsi="Times New Roman" w:cs="Times New Roman"/>
          <w:sz w:val="30"/>
          <w:szCs w:val="30"/>
        </w:rPr>
        <w:t xml:space="preserve"> по совершенствованию системы обращения с ТКО и ВМР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логистики и раздельного сбора ТКО, обновление инфраструктуры сбора и вывоза ТКО;</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создание современных предприятий по переработке ТКО и полигонов для их захоронения;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внедрение новых технологических решений, направленных на увеличение уровня использования ТКО;</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формирование культуры обращения с ТКО.</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поставленных задач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совершенствование законодательства в сфере обращения с ТКО и ВМР, в том числе в части ужесточения </w:t>
      </w:r>
      <w:proofErr w:type="gramStart"/>
      <w:r w:rsidRPr="001F11BD">
        <w:rPr>
          <w:rFonts w:ascii="Times New Roman" w:hAnsi="Times New Roman" w:cs="Times New Roman"/>
          <w:sz w:val="30"/>
          <w:szCs w:val="30"/>
        </w:rPr>
        <w:t>контроля за</w:t>
      </w:r>
      <w:proofErr w:type="gramEnd"/>
      <w:r w:rsidRPr="001F11BD">
        <w:rPr>
          <w:rFonts w:ascii="Times New Roman" w:hAnsi="Times New Roman" w:cs="Times New Roman"/>
          <w:sz w:val="30"/>
          <w:szCs w:val="30"/>
        </w:rPr>
        <w:t xml:space="preserve"> эксплуатацией объектов захоронения ТКО, установления единых требований к организации раздельного сбора и удаления ТКО;</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развитие системы раздельного сбора ТКО с обновлением и унификацией контейнеров и мусоровозов;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разработка программы по обращению с отходами потребления с учетом научных подходов и передового мирового опыта, а также по строительству новых полигонов и перегрузочных станций, закрытию и рекультивации полигонов и мини-полигонов ТКО;</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тарифного регулирования;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оптимизация системы учета информации об объемах образования, захоронения и морфологическом составе ТКО;</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внедрение технологий производства альтернативного топлива (RDF-топлива) из ТКО и сжигания отходов с получением тепловой и электрической энергии;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внедрение технологий аэробного (на открытых площадках) компостирования органической части ТКО (пищевые отходы, растительные остатки, отходы от уборки озелененных территорий);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внедрение депозитной (залоговой) системы обращения упаковки;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проведение информационно-разъяснительной работы с населением по вопросам обращения с ТКО и ВМР, реализация программ экологического просвещения в учреждениях образования.</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outlineLvl w:val="2"/>
        <w:rPr>
          <w:rFonts w:ascii="Times New Roman" w:hAnsi="Times New Roman" w:cs="Times New Roman"/>
          <w:sz w:val="30"/>
          <w:szCs w:val="30"/>
        </w:rPr>
      </w:pPr>
      <w:r w:rsidRPr="001F11BD">
        <w:rPr>
          <w:rFonts w:ascii="Times New Roman" w:hAnsi="Times New Roman" w:cs="Times New Roman"/>
          <w:b/>
          <w:sz w:val="30"/>
          <w:szCs w:val="30"/>
        </w:rPr>
        <w:t>4. Поддержание и дальнейшее улучшение благоустройства населенных пунктов</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Ключевыми </w:t>
      </w:r>
      <w:r w:rsidRPr="001F11BD">
        <w:rPr>
          <w:rFonts w:ascii="Times New Roman" w:hAnsi="Times New Roman" w:cs="Times New Roman"/>
          <w:b/>
          <w:sz w:val="30"/>
          <w:szCs w:val="30"/>
        </w:rPr>
        <w:t>задачами</w:t>
      </w:r>
      <w:r w:rsidRPr="001F11BD">
        <w:rPr>
          <w:rFonts w:ascii="Times New Roman" w:hAnsi="Times New Roman" w:cs="Times New Roman"/>
          <w:sz w:val="30"/>
          <w:szCs w:val="30"/>
        </w:rPr>
        <w:t xml:space="preserve"> в сфере благоустройства территорий населенных пунктов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оптимизация бюджетных средств, направляемых на выполнение работ по благоустройству;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установление единообразного подхода к содержанию улично-дорожной сети и формированию расходов на ее содержание.</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поставленных задач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разработка единых норм и расценок на содержание улично-дорожной сети, применение которых позволит единообразно определять стоимость таких работ;</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создание служб заказчиков, функциями которых будет контроль качества выполнения работ по благоустройству и целевого использования бюджетных средств на их оплату;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привлечение субъектов хозяйствования и населения к выполнению работ по благоустройству и поддержанию надлежащего санитарного состояния на землях общего пользования;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передача сельских улиц на обслуживание организациям, основной деятельностью которых является обслуживание местных дорог, связывающих населенные пункты.</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outlineLvl w:val="2"/>
        <w:rPr>
          <w:rFonts w:ascii="Times New Roman" w:hAnsi="Times New Roman" w:cs="Times New Roman"/>
          <w:sz w:val="30"/>
          <w:szCs w:val="30"/>
        </w:rPr>
      </w:pPr>
      <w:r w:rsidRPr="001F11BD">
        <w:rPr>
          <w:rFonts w:ascii="Times New Roman" w:hAnsi="Times New Roman" w:cs="Times New Roman"/>
          <w:b/>
          <w:sz w:val="30"/>
          <w:szCs w:val="30"/>
        </w:rPr>
        <w:t>5. Совершенствование системы социальной защиты населения и тарифной политики в сфере оказания ЖКУ</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Государственная поддержка населения при оплате ЖКУ осуществляется посредством предоставления </w:t>
      </w:r>
      <w:r w:rsidRPr="001F11BD">
        <w:rPr>
          <w:rFonts w:ascii="Times New Roman" w:hAnsi="Times New Roman" w:cs="Times New Roman"/>
          <w:b/>
          <w:sz w:val="30"/>
          <w:szCs w:val="30"/>
        </w:rPr>
        <w:t>безналичных жилищных субсидий</w:t>
      </w:r>
      <w:r w:rsidRPr="001F11BD">
        <w:rPr>
          <w:rFonts w:ascii="Times New Roman" w:hAnsi="Times New Roman" w:cs="Times New Roman"/>
          <w:sz w:val="30"/>
          <w:szCs w:val="30"/>
        </w:rPr>
        <w:t xml:space="preserve"> в соответствии с </w:t>
      </w:r>
      <w:hyperlink r:id="rId17">
        <w:r w:rsidRPr="001F11BD">
          <w:rPr>
            <w:rFonts w:ascii="Times New Roman" w:hAnsi="Times New Roman" w:cs="Times New Roman"/>
            <w:color w:val="0000FF"/>
            <w:sz w:val="30"/>
            <w:szCs w:val="30"/>
          </w:rPr>
          <w:t>Указом</w:t>
        </w:r>
      </w:hyperlink>
      <w:r w:rsidRPr="001F11BD">
        <w:rPr>
          <w:rFonts w:ascii="Times New Roman" w:hAnsi="Times New Roman" w:cs="Times New Roman"/>
          <w:sz w:val="30"/>
          <w:szCs w:val="30"/>
        </w:rPr>
        <w:t xml:space="preserve"> Президента Республики Беларусь от 29 августа 2016 г. N 322 "О предоставлении безналичных жилищных субсидий" (Национальный правовой Интернет-портал Республики Беларусь, 31.08.2016, 1/16610).</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Основной </w:t>
      </w:r>
      <w:r w:rsidRPr="001F11BD">
        <w:rPr>
          <w:rFonts w:ascii="Times New Roman" w:hAnsi="Times New Roman" w:cs="Times New Roman"/>
          <w:b/>
          <w:sz w:val="30"/>
          <w:szCs w:val="30"/>
        </w:rPr>
        <w:t>задачей</w:t>
      </w:r>
      <w:r w:rsidRPr="001F11BD">
        <w:rPr>
          <w:rFonts w:ascii="Times New Roman" w:hAnsi="Times New Roman" w:cs="Times New Roman"/>
          <w:sz w:val="30"/>
          <w:szCs w:val="30"/>
        </w:rPr>
        <w:t xml:space="preserve"> в сфере социальной защиты населения является совершенствование действующего механизма предоставления безналичных жилищных субсидий.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данной задачи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расширение перечня категорий граждан, которым предоставление безналичных жилищных субсидий осуществляется по выявительному принципу;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недопущение роста доли малообеспеченных домохозяйств (с доходами ниже бюджета прожиточного минимума) после оплаты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Основными</w:t>
      </w:r>
      <w:r w:rsidRPr="001F11BD">
        <w:rPr>
          <w:rFonts w:ascii="Times New Roman" w:hAnsi="Times New Roman" w:cs="Times New Roman"/>
          <w:sz w:val="30"/>
          <w:szCs w:val="30"/>
        </w:rPr>
        <w:t xml:space="preserve"> задачами государственной тарифной политики в сфере оказания ЖКУ, </w:t>
      </w:r>
      <w:proofErr w:type="gramStart"/>
      <w:r w:rsidRPr="001F11BD">
        <w:rPr>
          <w:rFonts w:ascii="Times New Roman" w:hAnsi="Times New Roman" w:cs="Times New Roman"/>
          <w:sz w:val="30"/>
          <w:szCs w:val="30"/>
        </w:rPr>
        <w:t>предоставляемых</w:t>
      </w:r>
      <w:proofErr w:type="gramEnd"/>
      <w:r w:rsidRPr="001F11BD">
        <w:rPr>
          <w:rFonts w:ascii="Times New Roman" w:hAnsi="Times New Roman" w:cs="Times New Roman"/>
          <w:sz w:val="30"/>
          <w:szCs w:val="30"/>
        </w:rPr>
        <w:t xml:space="preserve"> населению,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обеспечение прозрачности формирования тарифов и стоимости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сохранение доступности ЖКУ для населения;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гибкость ценообразования на ЖКУ в зависимости от их качества;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поэтапная ликвидация перекрестного и бюджетного субсидирования;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стимулирование экономного и рационального потребления услуг.</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указанных задач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изменение тарифов на ЖКУ в увязке с ростом доходов граждан;</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подходов к дифференциации тарифов на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разработка схемы нормирования тарифов на услуги водоснабжения и водоотведения, учитывающей уровень технического состояния данных систем и необходимость их развития;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оптимизация тарифов на электроэнергию, в том числе используемую для нужд отопления и горячего водоснабжения, и расширение перечня категорий потребителей, осуществляющих расчеты за электроэнергию по тарифам, дифференцированным по временным периодам;</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поэтапное снижение тарифов на электроэнергию для потребителей реального сектора экономики, включая организации ЖКХ, в рамках ликвидации перекрестного субсидирования с учетом планируемого роста реальных доходов населения;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развитие конкурентной среды при оказании услуг, не относящихся к сфере естественных монополий.</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outlineLvl w:val="2"/>
        <w:rPr>
          <w:rFonts w:ascii="Times New Roman" w:hAnsi="Times New Roman" w:cs="Times New Roman"/>
          <w:sz w:val="30"/>
          <w:szCs w:val="30"/>
        </w:rPr>
      </w:pPr>
      <w:r w:rsidRPr="001F11BD">
        <w:rPr>
          <w:rFonts w:ascii="Times New Roman" w:hAnsi="Times New Roman" w:cs="Times New Roman"/>
          <w:b/>
          <w:sz w:val="30"/>
          <w:szCs w:val="30"/>
        </w:rPr>
        <w:t>6. Совершенствование системы финансирования ЖКХ и привлечение инвестиций в ЖКХ</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В целях обеспечения эффективного развития организаций ЖКХ финансирование оказываемых населению ЖКУ осуществляется на основе планово-расчетных цен (далее - ПРЦ). Финансирование по ПРЦ ставит организации ЖКХ в условия, при которых максимально задействуются механизмы поиска резервов оптимизации затрат, а также служит </w:t>
      </w:r>
      <w:proofErr w:type="spellStart"/>
      <w:r w:rsidRPr="001F11BD">
        <w:rPr>
          <w:rFonts w:ascii="Times New Roman" w:hAnsi="Times New Roman" w:cs="Times New Roman"/>
          <w:sz w:val="30"/>
          <w:szCs w:val="30"/>
        </w:rPr>
        <w:t>мотиватором</w:t>
      </w:r>
      <w:proofErr w:type="spellEnd"/>
      <w:r w:rsidRPr="001F11BD">
        <w:rPr>
          <w:rFonts w:ascii="Times New Roman" w:hAnsi="Times New Roman" w:cs="Times New Roman"/>
          <w:sz w:val="30"/>
          <w:szCs w:val="30"/>
        </w:rPr>
        <w:t xml:space="preserve"> для получения реальной экономии.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Основной </w:t>
      </w:r>
      <w:r w:rsidRPr="001F11BD">
        <w:rPr>
          <w:rFonts w:ascii="Times New Roman" w:hAnsi="Times New Roman" w:cs="Times New Roman"/>
          <w:b/>
          <w:sz w:val="30"/>
          <w:szCs w:val="30"/>
        </w:rPr>
        <w:t>задачей</w:t>
      </w:r>
      <w:r w:rsidRPr="001F11BD">
        <w:rPr>
          <w:rFonts w:ascii="Times New Roman" w:hAnsi="Times New Roman" w:cs="Times New Roman"/>
          <w:sz w:val="30"/>
          <w:szCs w:val="30"/>
        </w:rPr>
        <w:t xml:space="preserve"> по совершенствованию системы финансирования ЖКХ является снижение бюджетного финансирования за счет повышения эффективности работы организаций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Предусматривается сохранить бюджетное финансирование ЖКХ </w:t>
      </w:r>
      <w:proofErr w:type="gramStart"/>
      <w:r w:rsidRPr="001F11BD">
        <w:rPr>
          <w:rFonts w:ascii="Times New Roman" w:hAnsi="Times New Roman" w:cs="Times New Roman"/>
          <w:sz w:val="30"/>
          <w:szCs w:val="30"/>
        </w:rPr>
        <w:t>на</w:t>
      </w:r>
      <w:proofErr w:type="gramEnd"/>
      <w:r w:rsidRPr="001F11BD">
        <w:rPr>
          <w:rFonts w:ascii="Times New Roman" w:hAnsi="Times New Roman" w:cs="Times New Roman"/>
          <w:sz w:val="30"/>
          <w:szCs w:val="30"/>
        </w:rPr>
        <w:t>:</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оказание населению услуг теплоснабжения (для целей отопления) и горячего водоснабжения;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капитальный ремонт, реконструкцию, модернизацию объектов ЖКХ (жилых домов, лифтового оборудования в них, котельных, тепловых сетей, сетей водоснабжения и водоотведения и сооружений на них);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текущий ремонт жилых домов с поэтапным его сокращением;</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благоустройство населенных пунктов;</w:t>
      </w:r>
    </w:p>
    <w:p w:rsidR="001F11BD" w:rsidRPr="001F11BD" w:rsidRDefault="001F11BD">
      <w:pPr>
        <w:pStyle w:val="ConsPlusNormal"/>
        <w:spacing w:before="220"/>
        <w:ind w:firstLine="540"/>
        <w:jc w:val="both"/>
        <w:rPr>
          <w:rFonts w:ascii="Times New Roman" w:hAnsi="Times New Roman" w:cs="Times New Roman"/>
          <w:sz w:val="30"/>
          <w:szCs w:val="30"/>
        </w:rPr>
      </w:pPr>
      <w:proofErr w:type="gramStart"/>
      <w:r w:rsidRPr="001F11BD">
        <w:rPr>
          <w:rFonts w:ascii="Times New Roman" w:hAnsi="Times New Roman" w:cs="Times New Roman"/>
          <w:sz w:val="30"/>
          <w:szCs w:val="30"/>
        </w:rPr>
        <w:t>другие целевые расходы и мероприятия (автоматизация и диспетчеризация, расходы, связанные с регистрацией граждан по месту жительства, предоставлением безналичных жилищных субсидий, льгот по оказываемым населению ЖКУ).</w:t>
      </w:r>
      <w:proofErr w:type="gramEnd"/>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поставленных задач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применение новых механизмов финансирования модернизации объектов ЖКХ (лизинг, государственно-частное партнерство, концессия), а также привлечение дополнительных источников финансирования;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финансирование части расходов на оказание населению ЖКУ из бюджета на основе нормативов субсидирования, установленных исходя из ПРЦ;</w:t>
      </w:r>
    </w:p>
    <w:p w:rsidR="001F11BD" w:rsidRPr="001F11BD" w:rsidRDefault="001F11BD">
      <w:pPr>
        <w:pStyle w:val="ConsPlusNormal"/>
        <w:spacing w:before="220"/>
        <w:ind w:firstLine="540"/>
        <w:jc w:val="both"/>
        <w:rPr>
          <w:rFonts w:ascii="Times New Roman" w:hAnsi="Times New Roman" w:cs="Times New Roman"/>
          <w:sz w:val="30"/>
          <w:szCs w:val="30"/>
        </w:rPr>
      </w:pPr>
      <w:proofErr w:type="gramStart"/>
      <w:r w:rsidRPr="001F11BD">
        <w:rPr>
          <w:rFonts w:ascii="Times New Roman" w:hAnsi="Times New Roman" w:cs="Times New Roman"/>
          <w:sz w:val="30"/>
          <w:szCs w:val="30"/>
        </w:rPr>
        <w:t>направление экономии, полученной в результате рациональной деятельности организаций и финансирования по ПРЦ, в распоряжение организаций ЖКХ и использование ее на капитальные вложения, модернизацию и развитие материально-технической базы и функционирование этих организаций (не менее 70 процентов), в том числе на внедрение энергосберегающих мероприятий, что поспособствует дальнейшему снижению затрат, а также на материальное стимулирование работников и выплаты социального характера (не более 30</w:t>
      </w:r>
      <w:proofErr w:type="gramEnd"/>
      <w:r w:rsidRPr="001F11BD">
        <w:rPr>
          <w:rFonts w:ascii="Times New Roman" w:hAnsi="Times New Roman" w:cs="Times New Roman"/>
          <w:sz w:val="30"/>
          <w:szCs w:val="30"/>
        </w:rPr>
        <w:t xml:space="preserve"> процентов);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установление минимальных нормативов бюджетной обеспеченности проведения капитального ремонта, реконструкции, модернизации объектов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обеспечение финансирования проектов по строительству и модернизации инфраструктуры ЖКХ с использованием льготных кредитных ресурсов.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В сфере инвестиций основной </w:t>
      </w:r>
      <w:r w:rsidRPr="001F11BD">
        <w:rPr>
          <w:rFonts w:ascii="Times New Roman" w:hAnsi="Times New Roman" w:cs="Times New Roman"/>
          <w:b/>
          <w:sz w:val="30"/>
          <w:szCs w:val="30"/>
        </w:rPr>
        <w:t>задачей</w:t>
      </w:r>
      <w:r w:rsidRPr="001F11BD">
        <w:rPr>
          <w:rFonts w:ascii="Times New Roman" w:hAnsi="Times New Roman" w:cs="Times New Roman"/>
          <w:sz w:val="30"/>
          <w:szCs w:val="30"/>
        </w:rPr>
        <w:t xml:space="preserve"> является создание условий для привлечения потенциальных инвесторов к модернизации инфраструктуры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поставленной задачи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различные формы взаимодействия с бизнесом на основе государственно-частного партнерства, концессионных и инвестиционных договоров, преференциальных инвестиционных проектов;</w:t>
      </w:r>
    </w:p>
    <w:p w:rsidR="001F11BD" w:rsidRPr="001F11BD" w:rsidRDefault="001F11BD">
      <w:pPr>
        <w:pStyle w:val="ConsPlusNormal"/>
        <w:jc w:val="both"/>
        <w:rPr>
          <w:rFonts w:ascii="Times New Roman" w:hAnsi="Times New Roman" w:cs="Times New Roman"/>
          <w:sz w:val="30"/>
          <w:szCs w:val="30"/>
        </w:rPr>
      </w:pPr>
      <w:r w:rsidRPr="001F11BD">
        <w:rPr>
          <w:rFonts w:ascii="Times New Roman" w:hAnsi="Times New Roman" w:cs="Times New Roman"/>
          <w:sz w:val="30"/>
          <w:szCs w:val="30"/>
        </w:rPr>
        <w:t xml:space="preserve">(в ред. </w:t>
      </w:r>
      <w:hyperlink r:id="rId18">
        <w:r w:rsidRPr="001F11BD">
          <w:rPr>
            <w:rFonts w:ascii="Times New Roman" w:hAnsi="Times New Roman" w:cs="Times New Roman"/>
            <w:color w:val="0000FF"/>
            <w:sz w:val="30"/>
            <w:szCs w:val="30"/>
          </w:rPr>
          <w:t>постановления</w:t>
        </w:r>
      </w:hyperlink>
      <w:r w:rsidRPr="001F11BD">
        <w:rPr>
          <w:rFonts w:ascii="Times New Roman" w:hAnsi="Times New Roman" w:cs="Times New Roman"/>
          <w:sz w:val="30"/>
          <w:szCs w:val="30"/>
        </w:rPr>
        <w:t xml:space="preserve"> Совмина от 04.09.2024 N 650)</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привлечение кредитов и грантов международных финансовых организаций;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эффективное использование привлекаемых ресурсов посредством внедрения инновационных технологий, позволяющих снижать эксплуатационные затраты.</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outlineLvl w:val="2"/>
        <w:rPr>
          <w:rFonts w:ascii="Times New Roman" w:hAnsi="Times New Roman" w:cs="Times New Roman"/>
          <w:sz w:val="30"/>
          <w:szCs w:val="30"/>
        </w:rPr>
      </w:pPr>
      <w:r w:rsidRPr="001F11BD">
        <w:rPr>
          <w:rFonts w:ascii="Times New Roman" w:hAnsi="Times New Roman" w:cs="Times New Roman"/>
          <w:b/>
          <w:sz w:val="30"/>
          <w:szCs w:val="30"/>
        </w:rPr>
        <w:t>7. Научное обеспечение развития ЖКХ</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На базе Национальной академии наук Беларуси создается государственное научное учреждение "Научно-исследовательский центр ЖКХ Национальной академии наук Беларуси", цель которого совместно с Министерством жилищно-коммунального хозяйства, профильными высшими учебными заведениями обеспечить на постоянной основе научное сопровождение развития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Основной </w:t>
      </w:r>
      <w:r w:rsidRPr="001F11BD">
        <w:rPr>
          <w:rFonts w:ascii="Times New Roman" w:hAnsi="Times New Roman" w:cs="Times New Roman"/>
          <w:b/>
          <w:sz w:val="30"/>
          <w:szCs w:val="30"/>
        </w:rPr>
        <w:t>задачей</w:t>
      </w:r>
      <w:r w:rsidRPr="001F11BD">
        <w:rPr>
          <w:rFonts w:ascii="Times New Roman" w:hAnsi="Times New Roman" w:cs="Times New Roman"/>
          <w:sz w:val="30"/>
          <w:szCs w:val="30"/>
        </w:rPr>
        <w:t xml:space="preserve"> научного обеспечения ЖКХ является трансформация организаций системы в площадки для инноваций. Ключевые черты инновационных площадок: конкурентоспособность и положительная динамика развития, </w:t>
      </w:r>
      <w:proofErr w:type="spellStart"/>
      <w:r w:rsidRPr="001F11BD">
        <w:rPr>
          <w:rFonts w:ascii="Times New Roman" w:hAnsi="Times New Roman" w:cs="Times New Roman"/>
          <w:sz w:val="30"/>
          <w:szCs w:val="30"/>
        </w:rPr>
        <w:t>ресурс</w:t>
      </w:r>
      <w:proofErr w:type="gramStart"/>
      <w:r w:rsidRPr="001F11BD">
        <w:rPr>
          <w:rFonts w:ascii="Times New Roman" w:hAnsi="Times New Roman" w:cs="Times New Roman"/>
          <w:sz w:val="30"/>
          <w:szCs w:val="30"/>
        </w:rPr>
        <w:t>о</w:t>
      </w:r>
      <w:proofErr w:type="spellEnd"/>
      <w:r w:rsidRPr="001F11BD">
        <w:rPr>
          <w:rFonts w:ascii="Times New Roman" w:hAnsi="Times New Roman" w:cs="Times New Roman"/>
          <w:sz w:val="30"/>
          <w:szCs w:val="30"/>
        </w:rPr>
        <w:t>-</w:t>
      </w:r>
      <w:proofErr w:type="gramEnd"/>
      <w:r w:rsidRPr="001F11BD">
        <w:rPr>
          <w:rFonts w:ascii="Times New Roman" w:hAnsi="Times New Roman" w:cs="Times New Roman"/>
          <w:sz w:val="30"/>
          <w:szCs w:val="30"/>
        </w:rPr>
        <w:t xml:space="preserve"> и </w:t>
      </w:r>
      <w:proofErr w:type="spellStart"/>
      <w:r w:rsidRPr="001F11BD">
        <w:rPr>
          <w:rFonts w:ascii="Times New Roman" w:hAnsi="Times New Roman" w:cs="Times New Roman"/>
          <w:sz w:val="30"/>
          <w:szCs w:val="30"/>
        </w:rPr>
        <w:t>энергоэффективность</w:t>
      </w:r>
      <w:proofErr w:type="spellEnd"/>
      <w:r w:rsidRPr="001F11BD">
        <w:rPr>
          <w:rFonts w:ascii="Times New Roman" w:hAnsi="Times New Roman" w:cs="Times New Roman"/>
          <w:sz w:val="30"/>
          <w:szCs w:val="30"/>
        </w:rPr>
        <w:t xml:space="preserve">, использование высоких наукоемких технологий, </w:t>
      </w:r>
      <w:proofErr w:type="spellStart"/>
      <w:r w:rsidRPr="001F11BD">
        <w:rPr>
          <w:rFonts w:ascii="Times New Roman" w:hAnsi="Times New Roman" w:cs="Times New Roman"/>
          <w:sz w:val="30"/>
          <w:szCs w:val="30"/>
        </w:rPr>
        <w:t>экологичность</w:t>
      </w:r>
      <w:proofErr w:type="spellEnd"/>
      <w:r w:rsidRPr="001F11BD">
        <w:rPr>
          <w:rFonts w:ascii="Times New Roman" w:hAnsi="Times New Roman" w:cs="Times New Roman"/>
          <w:sz w:val="30"/>
          <w:szCs w:val="30"/>
        </w:rPr>
        <w:t>, эффективная занятость и высокая производительность труда.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Система научного обеспечения ЖКХ будет строиться на программно-целевых принципах. Для их реализации предполагается проведение на регулярной основе опережающих исследований по технологическому предвидению и долгосрочному прогнозированию основных тенденций научно-технического прогресса в ЖКХ и смежных отраслях.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Ключевые системные блоки научного обеспечения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высококвалифицированные кадры;</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оптимизированное ресурсное обеспечение;</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создание постоянно обновляемого пакета технологий в рамках комплекса наука - технологии - инновации.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Кадровый блок предусматривает целевую подготовку и повышение квалификации кадров всех уровней: от рабочих специальностей до специалистов-менеджеров ЖКХ. На новом этапе предстоит создать компактную специализированную систему кадрового обеспечения ЖКХ учеными высшей научной квалификации на основе целевой подготовки магистрантов и аспирантов в профильных вузах, а также в ведущих научных организациях. Отличительной особенностью работников инновационного ЖКХ станет их высокая </w:t>
      </w:r>
      <w:proofErr w:type="spellStart"/>
      <w:r w:rsidRPr="001F11BD">
        <w:rPr>
          <w:rFonts w:ascii="Times New Roman" w:hAnsi="Times New Roman" w:cs="Times New Roman"/>
          <w:sz w:val="30"/>
          <w:szCs w:val="30"/>
        </w:rPr>
        <w:t>мотивированность</w:t>
      </w:r>
      <w:proofErr w:type="spellEnd"/>
      <w:r w:rsidRPr="001F11BD">
        <w:rPr>
          <w:rFonts w:ascii="Times New Roman" w:hAnsi="Times New Roman" w:cs="Times New Roman"/>
          <w:sz w:val="30"/>
          <w:szCs w:val="30"/>
        </w:rPr>
        <w:t>, основанная на целевом отборе и расстановке, последовательном формировании в общественном сознании позитивного имиджа и престижности работы в системе ЖКХ, целевом стимулировании достижения высоких результатов и качества выполняемых работ.</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Работа по оптимизации ресурсного блока будет направлена на постоянное совершенствование материально-технической базы организаций ЖКХ с использованием пакета наилучших технологических решений и технических средств, обеспечивающих совокупную экономию денежных и материальных ресурсов. Совершенствование финансовой составляющей ресурсного обеспечения будет осуществляться на основе точечного целевого использования государственной поддержки для реализации знаковых пилотных проектов общесистемного уровня с использованием средств инновационных фондов, а также при широком привлечении инвестиций.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Задачи комплекса наука - технологии - инновации ЖКХ будут решаться на основе формирования и постоянного обновления пакета научно обоснованных решений в рамках заказа ЖКХ науке. На его основе предстоит сформировать задания программ (научных исследований и научно-технических программ), в дальнейшем - реализовать инновационные проекты по использованию наукоемких технологий высших укладов в интересах развития ЖКХ. В рамках Государственной </w:t>
      </w:r>
      <w:hyperlink r:id="rId19">
        <w:r w:rsidRPr="001F11BD">
          <w:rPr>
            <w:rFonts w:ascii="Times New Roman" w:hAnsi="Times New Roman" w:cs="Times New Roman"/>
            <w:color w:val="0000FF"/>
            <w:sz w:val="30"/>
            <w:szCs w:val="30"/>
          </w:rPr>
          <w:t>программы</w:t>
        </w:r>
      </w:hyperlink>
      <w:r w:rsidRPr="001F11BD">
        <w:rPr>
          <w:rFonts w:ascii="Times New Roman" w:hAnsi="Times New Roman" w:cs="Times New Roman"/>
          <w:sz w:val="30"/>
          <w:szCs w:val="30"/>
        </w:rPr>
        <w:t xml:space="preserve"> инновационного развития Республики Беларусь на 2016 - 2020 годы, утвержденной Указом Президента Республики Беларусь от 31 января 2017 г. N 31 (Национальный правовой Интернет-портал Республики Беларусь, 07.02.2017, 1/16888), будет создана постоянно актуализируемая база данных наилучших технологий и технических сре</w:t>
      </w:r>
      <w:proofErr w:type="gramStart"/>
      <w:r w:rsidRPr="001F11BD">
        <w:rPr>
          <w:rFonts w:ascii="Times New Roman" w:hAnsi="Times New Roman" w:cs="Times New Roman"/>
          <w:sz w:val="30"/>
          <w:szCs w:val="30"/>
        </w:rPr>
        <w:t>дств дл</w:t>
      </w:r>
      <w:proofErr w:type="gramEnd"/>
      <w:r w:rsidRPr="001F11BD">
        <w:rPr>
          <w:rFonts w:ascii="Times New Roman" w:hAnsi="Times New Roman" w:cs="Times New Roman"/>
          <w:sz w:val="30"/>
          <w:szCs w:val="30"/>
        </w:rPr>
        <w:t>я применения в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Структурные меры научного обеспечения ЖКХ будут реализованы по схеме наука - производство и построены на </w:t>
      </w:r>
      <w:r w:rsidRPr="001F11BD">
        <w:rPr>
          <w:rFonts w:ascii="Times New Roman" w:hAnsi="Times New Roman" w:cs="Times New Roman"/>
          <w:b/>
          <w:sz w:val="30"/>
          <w:szCs w:val="30"/>
        </w:rPr>
        <w:t>кластерных принципах</w:t>
      </w:r>
      <w:r w:rsidRPr="001F11BD">
        <w:rPr>
          <w:rFonts w:ascii="Times New Roman" w:hAnsi="Times New Roman" w:cs="Times New Roman"/>
          <w:sz w:val="30"/>
          <w:szCs w:val="30"/>
        </w:rPr>
        <w:t>. Базовые производственные звенья кластера ЖКХ - организации, оказывающие ЖКУ. Научная составляющая кластера - сеть лабораторий академических научных организаций и профильных вузов, выполняющих исследования и разработки по заказам организаций системы ЖКХ.</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outlineLvl w:val="2"/>
        <w:rPr>
          <w:rFonts w:ascii="Times New Roman" w:hAnsi="Times New Roman" w:cs="Times New Roman"/>
          <w:sz w:val="30"/>
          <w:szCs w:val="30"/>
        </w:rPr>
      </w:pPr>
      <w:r w:rsidRPr="001F11BD">
        <w:rPr>
          <w:rFonts w:ascii="Times New Roman" w:hAnsi="Times New Roman" w:cs="Times New Roman"/>
          <w:b/>
          <w:sz w:val="30"/>
          <w:szCs w:val="30"/>
        </w:rPr>
        <w:t>8. Повышение эффективности структуры управления, создание позитивного имиджа и престижности работы в сфере ЖКХ</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Основная </w:t>
      </w:r>
      <w:r w:rsidRPr="001F11BD">
        <w:rPr>
          <w:rFonts w:ascii="Times New Roman" w:hAnsi="Times New Roman" w:cs="Times New Roman"/>
          <w:b/>
          <w:sz w:val="30"/>
          <w:szCs w:val="30"/>
        </w:rPr>
        <w:t>задача</w:t>
      </w:r>
      <w:r w:rsidRPr="001F11BD">
        <w:rPr>
          <w:rFonts w:ascii="Times New Roman" w:hAnsi="Times New Roman" w:cs="Times New Roman"/>
          <w:sz w:val="30"/>
          <w:szCs w:val="30"/>
        </w:rPr>
        <w:t xml:space="preserve"> - повышение эффективности существующей структуры управления ЖКХ посредством ее совершенствования.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поставленной задачи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четкое разделение функций государственного и отраслевого управления в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создание местными исполнительными и распорядительными органами служб заказчиков в целях защиты интересов потребителей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регионализация и (или) укрупнение в областях (по аналогии </w:t>
      </w:r>
      <w:proofErr w:type="gramStart"/>
      <w:r w:rsidRPr="001F11BD">
        <w:rPr>
          <w:rFonts w:ascii="Times New Roman" w:hAnsi="Times New Roman" w:cs="Times New Roman"/>
          <w:sz w:val="30"/>
          <w:szCs w:val="30"/>
        </w:rPr>
        <w:t>с</w:t>
      </w:r>
      <w:proofErr w:type="gramEnd"/>
      <w:r w:rsidRPr="001F11BD">
        <w:rPr>
          <w:rFonts w:ascii="Times New Roman" w:hAnsi="Times New Roman" w:cs="Times New Roman"/>
          <w:sz w:val="30"/>
          <w:szCs w:val="30"/>
        </w:rPr>
        <w:t xml:space="preserve"> созданными в г. Минске):</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организаций по учету, расчету и начислению платы за ЖКУ и платы за пользование жилыми помещениями;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диспетчерских служб с коротким телефонным номером 115.</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Основными </w:t>
      </w:r>
      <w:r w:rsidRPr="001F11BD">
        <w:rPr>
          <w:rFonts w:ascii="Times New Roman" w:hAnsi="Times New Roman" w:cs="Times New Roman"/>
          <w:b/>
          <w:sz w:val="30"/>
          <w:szCs w:val="30"/>
        </w:rPr>
        <w:t>задачами</w:t>
      </w:r>
      <w:r w:rsidRPr="001F11BD">
        <w:rPr>
          <w:rFonts w:ascii="Times New Roman" w:hAnsi="Times New Roman" w:cs="Times New Roman"/>
          <w:sz w:val="30"/>
          <w:szCs w:val="30"/>
        </w:rPr>
        <w:t xml:space="preserve"> создания позитивного имиджа и престижности работы в ЖКХ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обеспечение комплектования организаций ЖКХ квалифицированными кадрами в соответствии с квалификационными требованиями;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качества подготовки, переподготовки и повышения квалификации специалистов ЖКХ путем разработки профессиональных и образовательных стандартов.</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b/>
          <w:sz w:val="30"/>
          <w:szCs w:val="30"/>
        </w:rPr>
        <w:t>Механизмами</w:t>
      </w:r>
      <w:r w:rsidRPr="001F11BD">
        <w:rPr>
          <w:rFonts w:ascii="Times New Roman" w:hAnsi="Times New Roman" w:cs="Times New Roman"/>
          <w:sz w:val="30"/>
          <w:szCs w:val="30"/>
        </w:rPr>
        <w:t xml:space="preserve"> реализации поставленных задач являются: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механизма профессиональной аттестации работников организаций ЖКХ, в том числе государственных заказчиков в сфере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определение квалификационных требований к отдельным должностям государственного заказчика в сфере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обеспечение интеграции учреждений образования в систему ЖКХ путем создания филиалов кафедр профильных специальностей и научных центров в конкретных организациях;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уровня престижа рабочих и специальных профессий в сфере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создание на базе учреждения образования "Государственный учебный центр подготовки, повышения квалификации и переподготовки кадров "</w:t>
      </w:r>
      <w:proofErr w:type="spellStart"/>
      <w:r w:rsidRPr="001F11BD">
        <w:rPr>
          <w:rFonts w:ascii="Times New Roman" w:hAnsi="Times New Roman" w:cs="Times New Roman"/>
          <w:sz w:val="30"/>
          <w:szCs w:val="30"/>
        </w:rPr>
        <w:t>Жилком</w:t>
      </w:r>
      <w:proofErr w:type="spellEnd"/>
      <w:r w:rsidRPr="001F11BD">
        <w:rPr>
          <w:rFonts w:ascii="Times New Roman" w:hAnsi="Times New Roman" w:cs="Times New Roman"/>
          <w:sz w:val="30"/>
          <w:szCs w:val="30"/>
        </w:rPr>
        <w:t>" ресурсного центра по профессиональной подготовке кадров для организаций ЖКХ.</w:t>
      </w:r>
    </w:p>
    <w:p w:rsidR="001F11BD" w:rsidRPr="001F11BD" w:rsidRDefault="001F11BD">
      <w:pPr>
        <w:pStyle w:val="ConsPlusNormal"/>
        <w:jc w:val="both"/>
        <w:rPr>
          <w:rFonts w:ascii="Times New Roman" w:hAnsi="Times New Roman" w:cs="Times New Roman"/>
          <w:sz w:val="30"/>
          <w:szCs w:val="30"/>
        </w:rPr>
      </w:pPr>
      <w:r w:rsidRPr="001F11BD">
        <w:rPr>
          <w:rFonts w:ascii="Times New Roman" w:hAnsi="Times New Roman" w:cs="Times New Roman"/>
          <w:sz w:val="30"/>
          <w:szCs w:val="30"/>
        </w:rPr>
        <w:t xml:space="preserve">(в ред. </w:t>
      </w:r>
      <w:hyperlink r:id="rId20">
        <w:r w:rsidRPr="001F11BD">
          <w:rPr>
            <w:rFonts w:ascii="Times New Roman" w:hAnsi="Times New Roman" w:cs="Times New Roman"/>
            <w:color w:val="0000FF"/>
            <w:sz w:val="30"/>
            <w:szCs w:val="30"/>
          </w:rPr>
          <w:t>постановления</w:t>
        </w:r>
      </w:hyperlink>
      <w:r w:rsidRPr="001F11BD">
        <w:rPr>
          <w:rFonts w:ascii="Times New Roman" w:hAnsi="Times New Roman" w:cs="Times New Roman"/>
          <w:sz w:val="30"/>
          <w:szCs w:val="30"/>
        </w:rPr>
        <w:t xml:space="preserve"> Совмина от 11.11.2024 N 825)</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jc w:val="center"/>
        <w:outlineLvl w:val="1"/>
        <w:rPr>
          <w:rFonts w:ascii="Times New Roman" w:hAnsi="Times New Roman" w:cs="Times New Roman"/>
          <w:sz w:val="30"/>
          <w:szCs w:val="30"/>
        </w:rPr>
      </w:pPr>
      <w:r w:rsidRPr="001F11BD">
        <w:rPr>
          <w:rFonts w:ascii="Times New Roman" w:hAnsi="Times New Roman" w:cs="Times New Roman"/>
          <w:b/>
          <w:sz w:val="30"/>
          <w:szCs w:val="30"/>
        </w:rPr>
        <w:t>ГЛАВА 4</w:t>
      </w:r>
    </w:p>
    <w:p w:rsidR="001F11BD" w:rsidRPr="001F11BD" w:rsidRDefault="001F11BD">
      <w:pPr>
        <w:pStyle w:val="ConsPlusNormal"/>
        <w:jc w:val="center"/>
        <w:rPr>
          <w:rFonts w:ascii="Times New Roman" w:hAnsi="Times New Roman" w:cs="Times New Roman"/>
          <w:sz w:val="30"/>
          <w:szCs w:val="30"/>
        </w:rPr>
      </w:pPr>
      <w:r w:rsidRPr="001F11BD">
        <w:rPr>
          <w:rFonts w:ascii="Times New Roman" w:hAnsi="Times New Roman" w:cs="Times New Roman"/>
          <w:b/>
          <w:sz w:val="30"/>
          <w:szCs w:val="30"/>
        </w:rPr>
        <w:t>ПРАВОВОЙ МЕХАНИЗМ КОНЦЕПЦИИ</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Важнейшим условием выполнения Концепции является правовое обеспечение направлений и механизмов ее реализации.</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Для этого потребуется:</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1) корректировка положений:</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Жилищного </w:t>
      </w:r>
      <w:hyperlink r:id="rId21">
        <w:r w:rsidRPr="001F11BD">
          <w:rPr>
            <w:rFonts w:ascii="Times New Roman" w:hAnsi="Times New Roman" w:cs="Times New Roman"/>
            <w:color w:val="0000FF"/>
            <w:sz w:val="30"/>
            <w:szCs w:val="30"/>
          </w:rPr>
          <w:t>кодекса</w:t>
        </w:r>
      </w:hyperlink>
      <w:r w:rsidRPr="001F11BD">
        <w:rPr>
          <w:rFonts w:ascii="Times New Roman" w:hAnsi="Times New Roman" w:cs="Times New Roman"/>
          <w:sz w:val="30"/>
          <w:szCs w:val="30"/>
        </w:rPr>
        <w:t xml:space="preserve"> Республики Беларусь;</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Налогового </w:t>
      </w:r>
      <w:hyperlink r:id="rId22">
        <w:r w:rsidRPr="001F11BD">
          <w:rPr>
            <w:rFonts w:ascii="Times New Roman" w:hAnsi="Times New Roman" w:cs="Times New Roman"/>
            <w:color w:val="0000FF"/>
            <w:sz w:val="30"/>
            <w:szCs w:val="30"/>
          </w:rPr>
          <w:t>кодекса</w:t>
        </w:r>
      </w:hyperlink>
      <w:r w:rsidRPr="001F11BD">
        <w:rPr>
          <w:rFonts w:ascii="Times New Roman" w:hAnsi="Times New Roman" w:cs="Times New Roman"/>
          <w:sz w:val="30"/>
          <w:szCs w:val="30"/>
        </w:rPr>
        <w:t xml:space="preserve"> Республики Беларусь;</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законов Республики Беларусь:</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от </w:t>
      </w:r>
      <w:hyperlink r:id="rId23">
        <w:r w:rsidRPr="001F11BD">
          <w:rPr>
            <w:rFonts w:ascii="Times New Roman" w:hAnsi="Times New Roman" w:cs="Times New Roman"/>
            <w:color w:val="0000FF"/>
            <w:sz w:val="30"/>
            <w:szCs w:val="30"/>
          </w:rPr>
          <w:t>24 июня 1999 года</w:t>
        </w:r>
      </w:hyperlink>
      <w:r w:rsidRPr="001F11BD">
        <w:rPr>
          <w:rFonts w:ascii="Times New Roman" w:hAnsi="Times New Roman" w:cs="Times New Roman"/>
          <w:sz w:val="30"/>
          <w:szCs w:val="30"/>
        </w:rPr>
        <w:t xml:space="preserve"> "О питьевом водоснабжении" (Национальный реестр правовых актов Республики Беларусь, 1999 г., N 50, 2/46);</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от </w:t>
      </w:r>
      <w:hyperlink r:id="rId24">
        <w:r w:rsidRPr="001F11BD">
          <w:rPr>
            <w:rFonts w:ascii="Times New Roman" w:hAnsi="Times New Roman" w:cs="Times New Roman"/>
            <w:color w:val="0000FF"/>
            <w:sz w:val="30"/>
            <w:szCs w:val="30"/>
          </w:rPr>
          <w:t>20 июля 2007 года</w:t>
        </w:r>
      </w:hyperlink>
      <w:r w:rsidRPr="001F11BD">
        <w:rPr>
          <w:rFonts w:ascii="Times New Roman" w:hAnsi="Times New Roman" w:cs="Times New Roman"/>
          <w:sz w:val="30"/>
          <w:szCs w:val="30"/>
        </w:rPr>
        <w:t xml:space="preserve"> "Об обращении с отходами" (Национальный реестр правовых актов Республики Беларусь, 2007 г., N 183, 2/1368);</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от </w:t>
      </w:r>
      <w:hyperlink r:id="rId25">
        <w:r w:rsidRPr="001F11BD">
          <w:rPr>
            <w:rFonts w:ascii="Times New Roman" w:hAnsi="Times New Roman" w:cs="Times New Roman"/>
            <w:color w:val="0000FF"/>
            <w:sz w:val="30"/>
            <w:szCs w:val="30"/>
          </w:rPr>
          <w:t>16 июля 2008 года</w:t>
        </w:r>
      </w:hyperlink>
      <w:r w:rsidRPr="001F11BD">
        <w:rPr>
          <w:rFonts w:ascii="Times New Roman" w:hAnsi="Times New Roman" w:cs="Times New Roman"/>
          <w:sz w:val="30"/>
          <w:szCs w:val="30"/>
        </w:rPr>
        <w:t xml:space="preserve"> "О защите прав потребителей жилищно-коммунальных услуг" (Национальный реестр правовых актов Республики Беларусь, 2008 г., N 175, 2/1502);</w:t>
      </w: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абзацы восьмой - десятый исключены. - </w:t>
      </w:r>
      <w:hyperlink r:id="rId26">
        <w:r w:rsidRPr="001F11BD">
          <w:rPr>
            <w:rFonts w:ascii="Times New Roman" w:hAnsi="Times New Roman" w:cs="Times New Roman"/>
            <w:color w:val="0000FF"/>
            <w:sz w:val="30"/>
            <w:szCs w:val="30"/>
          </w:rPr>
          <w:t>Постановление</w:t>
        </w:r>
      </w:hyperlink>
      <w:r w:rsidRPr="001F11BD">
        <w:rPr>
          <w:rFonts w:ascii="Times New Roman" w:hAnsi="Times New Roman" w:cs="Times New Roman"/>
          <w:sz w:val="30"/>
          <w:szCs w:val="30"/>
        </w:rPr>
        <w:t xml:space="preserve"> Совмина от 02.07.2020 N 391;</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Государственной </w:t>
      </w:r>
      <w:hyperlink r:id="rId27">
        <w:r w:rsidRPr="001F11BD">
          <w:rPr>
            <w:rFonts w:ascii="Times New Roman" w:hAnsi="Times New Roman" w:cs="Times New Roman"/>
            <w:color w:val="0000FF"/>
            <w:sz w:val="30"/>
            <w:szCs w:val="30"/>
          </w:rPr>
          <w:t>программы</w:t>
        </w:r>
      </w:hyperlink>
      <w:r w:rsidRPr="001F11BD">
        <w:rPr>
          <w:rFonts w:ascii="Times New Roman" w:hAnsi="Times New Roman" w:cs="Times New Roman"/>
          <w:sz w:val="30"/>
          <w:szCs w:val="30"/>
        </w:rPr>
        <w:t xml:space="preserve"> "Комфортное жилье и благоприятная среда" на 2016 - 2020 годы;</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2) подготовка проектов указов Президента Республики Беларусь, в том числе регламентирующих порядок создания и функционирования депозитной (залоговой) системы упаковки, а также тепловой модернизации жилых домов, новой государственной программы по вопросам ЖКХ до 2025 года.</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jc w:val="center"/>
        <w:outlineLvl w:val="1"/>
        <w:rPr>
          <w:rFonts w:ascii="Times New Roman" w:hAnsi="Times New Roman" w:cs="Times New Roman"/>
          <w:sz w:val="30"/>
          <w:szCs w:val="30"/>
        </w:rPr>
      </w:pPr>
      <w:r w:rsidRPr="001F11BD">
        <w:rPr>
          <w:rFonts w:ascii="Times New Roman" w:hAnsi="Times New Roman" w:cs="Times New Roman"/>
          <w:b/>
          <w:sz w:val="30"/>
          <w:szCs w:val="30"/>
        </w:rPr>
        <w:t>ГЛАВА 5</w:t>
      </w:r>
    </w:p>
    <w:p w:rsidR="001F11BD" w:rsidRPr="001F11BD" w:rsidRDefault="001F11BD">
      <w:pPr>
        <w:pStyle w:val="ConsPlusNormal"/>
        <w:jc w:val="center"/>
        <w:rPr>
          <w:rFonts w:ascii="Times New Roman" w:hAnsi="Times New Roman" w:cs="Times New Roman"/>
          <w:sz w:val="30"/>
          <w:szCs w:val="30"/>
        </w:rPr>
      </w:pPr>
      <w:r w:rsidRPr="001F11BD">
        <w:rPr>
          <w:rFonts w:ascii="Times New Roman" w:hAnsi="Times New Roman" w:cs="Times New Roman"/>
          <w:b/>
          <w:sz w:val="30"/>
          <w:szCs w:val="30"/>
        </w:rPr>
        <w:t>ОЖИДАЕМЫЕ РЕЗУЛЬТАТЫ ВНЕДРЕНИЯ КОНЦЕПЦИИ</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ind w:firstLine="540"/>
        <w:jc w:val="both"/>
        <w:rPr>
          <w:rFonts w:ascii="Times New Roman" w:hAnsi="Times New Roman" w:cs="Times New Roman"/>
          <w:sz w:val="30"/>
          <w:szCs w:val="30"/>
        </w:rPr>
      </w:pPr>
      <w:r w:rsidRPr="001F11BD">
        <w:rPr>
          <w:rFonts w:ascii="Times New Roman" w:hAnsi="Times New Roman" w:cs="Times New Roman"/>
          <w:sz w:val="30"/>
          <w:szCs w:val="30"/>
        </w:rPr>
        <w:t>Реализация Концепции позволит обеспечить:</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эффективное управление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доступность всех видов ЖКУ;</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качества предоставляемых ЖКУ и снижение затрат на их оказание;</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механизма планирования текущей деятельности и повышения экономической эффективности функционирования организаций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создание единого информационного пространства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повышение профессионального уровня кадрового состава;</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совершенствование механизмов стимулирования труда работников ЖКХ.</w:t>
      </w:r>
    </w:p>
    <w:p w:rsidR="001F11BD" w:rsidRPr="001F11BD" w:rsidRDefault="001F11BD">
      <w:pPr>
        <w:pStyle w:val="ConsPlusNormal"/>
        <w:spacing w:before="220"/>
        <w:ind w:firstLine="540"/>
        <w:jc w:val="both"/>
        <w:rPr>
          <w:rFonts w:ascii="Times New Roman" w:hAnsi="Times New Roman" w:cs="Times New Roman"/>
          <w:sz w:val="30"/>
          <w:szCs w:val="30"/>
        </w:rPr>
      </w:pPr>
      <w:r w:rsidRPr="001F11BD">
        <w:rPr>
          <w:rFonts w:ascii="Times New Roman" w:hAnsi="Times New Roman" w:cs="Times New Roman"/>
          <w:sz w:val="30"/>
          <w:szCs w:val="30"/>
        </w:rPr>
        <w:t xml:space="preserve">Для оценки хода реализации Концепции установлены целевые индикаторы согласно </w:t>
      </w:r>
      <w:hyperlink w:anchor="P307">
        <w:r w:rsidRPr="001F11BD">
          <w:rPr>
            <w:rFonts w:ascii="Times New Roman" w:hAnsi="Times New Roman" w:cs="Times New Roman"/>
            <w:color w:val="0000FF"/>
            <w:sz w:val="30"/>
            <w:szCs w:val="30"/>
          </w:rPr>
          <w:t>приложению</w:t>
        </w:r>
      </w:hyperlink>
      <w:r w:rsidRPr="001F11BD">
        <w:rPr>
          <w:rFonts w:ascii="Times New Roman" w:hAnsi="Times New Roman" w:cs="Times New Roman"/>
          <w:sz w:val="30"/>
          <w:szCs w:val="30"/>
        </w:rPr>
        <w:t>.</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Normal"/>
        <w:jc w:val="right"/>
        <w:outlineLvl w:val="1"/>
        <w:rPr>
          <w:rFonts w:ascii="Times New Roman" w:hAnsi="Times New Roman" w:cs="Times New Roman"/>
          <w:sz w:val="30"/>
          <w:szCs w:val="30"/>
        </w:rPr>
      </w:pPr>
      <w:r w:rsidRPr="001F11BD">
        <w:rPr>
          <w:rFonts w:ascii="Times New Roman" w:hAnsi="Times New Roman" w:cs="Times New Roman"/>
          <w:sz w:val="30"/>
          <w:szCs w:val="30"/>
        </w:rPr>
        <w:t>Приложение</w:t>
      </w:r>
    </w:p>
    <w:p w:rsidR="001F11BD" w:rsidRPr="001F11BD" w:rsidRDefault="001F11BD">
      <w:pPr>
        <w:pStyle w:val="ConsPlusNormal"/>
        <w:jc w:val="right"/>
        <w:rPr>
          <w:rFonts w:ascii="Times New Roman" w:hAnsi="Times New Roman" w:cs="Times New Roman"/>
          <w:sz w:val="30"/>
          <w:szCs w:val="30"/>
        </w:rPr>
      </w:pPr>
      <w:r w:rsidRPr="001F11BD">
        <w:rPr>
          <w:rFonts w:ascii="Times New Roman" w:hAnsi="Times New Roman" w:cs="Times New Roman"/>
          <w:sz w:val="30"/>
          <w:szCs w:val="30"/>
        </w:rPr>
        <w:t>к Концепции совершенствования</w:t>
      </w:r>
    </w:p>
    <w:p w:rsidR="001F11BD" w:rsidRPr="001F11BD" w:rsidRDefault="001F11BD">
      <w:pPr>
        <w:pStyle w:val="ConsPlusNormal"/>
        <w:jc w:val="right"/>
        <w:rPr>
          <w:rFonts w:ascii="Times New Roman" w:hAnsi="Times New Roman" w:cs="Times New Roman"/>
          <w:sz w:val="30"/>
          <w:szCs w:val="30"/>
        </w:rPr>
      </w:pPr>
      <w:r w:rsidRPr="001F11BD">
        <w:rPr>
          <w:rFonts w:ascii="Times New Roman" w:hAnsi="Times New Roman" w:cs="Times New Roman"/>
          <w:sz w:val="30"/>
          <w:szCs w:val="30"/>
        </w:rPr>
        <w:t>и развития жилищно-коммунального</w:t>
      </w:r>
    </w:p>
    <w:p w:rsidR="001F11BD" w:rsidRPr="001F11BD" w:rsidRDefault="001F11BD">
      <w:pPr>
        <w:pStyle w:val="ConsPlusNormal"/>
        <w:jc w:val="right"/>
        <w:rPr>
          <w:rFonts w:ascii="Times New Roman" w:hAnsi="Times New Roman" w:cs="Times New Roman"/>
          <w:sz w:val="30"/>
          <w:szCs w:val="30"/>
        </w:rPr>
      </w:pPr>
      <w:r w:rsidRPr="001F11BD">
        <w:rPr>
          <w:rFonts w:ascii="Times New Roman" w:hAnsi="Times New Roman" w:cs="Times New Roman"/>
          <w:sz w:val="30"/>
          <w:szCs w:val="30"/>
        </w:rPr>
        <w:t>хозяйства до 2025 года</w:t>
      </w:r>
    </w:p>
    <w:p w:rsidR="001F11BD" w:rsidRPr="001F11BD" w:rsidRDefault="001F11BD">
      <w:pPr>
        <w:pStyle w:val="ConsPlusNormal"/>
        <w:rPr>
          <w:rFonts w:ascii="Times New Roman" w:hAnsi="Times New Roman" w:cs="Times New Roman"/>
          <w:sz w:val="30"/>
          <w:szCs w:val="30"/>
        </w:rPr>
      </w:pPr>
    </w:p>
    <w:p w:rsidR="001F11BD" w:rsidRPr="001F11BD" w:rsidRDefault="001F11BD">
      <w:pPr>
        <w:pStyle w:val="ConsPlusTitle"/>
        <w:jc w:val="center"/>
        <w:rPr>
          <w:rFonts w:ascii="Times New Roman" w:hAnsi="Times New Roman" w:cs="Times New Roman"/>
          <w:sz w:val="30"/>
          <w:szCs w:val="30"/>
        </w:rPr>
      </w:pPr>
      <w:bookmarkStart w:id="1" w:name="P307"/>
      <w:bookmarkEnd w:id="1"/>
      <w:r w:rsidRPr="001F11BD">
        <w:rPr>
          <w:rFonts w:ascii="Times New Roman" w:hAnsi="Times New Roman" w:cs="Times New Roman"/>
          <w:sz w:val="30"/>
          <w:szCs w:val="30"/>
        </w:rPr>
        <w:t>ЦЕЛЕВЫЕ ИНДИКАТОРЫ РЕАЛИЗАЦИИ КОНЦЕПЦИИ</w:t>
      </w:r>
    </w:p>
    <w:p w:rsidR="001F11BD" w:rsidRPr="001F11BD" w:rsidRDefault="001F11BD">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11BD" w:rsidRPr="001F11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F11BD" w:rsidRPr="001F11BD" w:rsidRDefault="001F11BD">
            <w:pPr>
              <w:pStyle w:val="ConsPlusNormal"/>
              <w:jc w:val="center"/>
              <w:rPr>
                <w:rFonts w:ascii="Times New Roman" w:hAnsi="Times New Roman" w:cs="Times New Roman"/>
                <w:sz w:val="30"/>
                <w:szCs w:val="30"/>
              </w:rPr>
            </w:pPr>
            <w:r w:rsidRPr="001F11BD">
              <w:rPr>
                <w:rFonts w:ascii="Times New Roman" w:hAnsi="Times New Roman" w:cs="Times New Roman"/>
                <w:color w:val="392C69"/>
                <w:sz w:val="30"/>
                <w:szCs w:val="30"/>
              </w:rPr>
              <w:t xml:space="preserve">(в ред. </w:t>
            </w:r>
            <w:hyperlink r:id="rId28">
              <w:r w:rsidRPr="001F11BD">
                <w:rPr>
                  <w:rFonts w:ascii="Times New Roman" w:hAnsi="Times New Roman" w:cs="Times New Roman"/>
                  <w:color w:val="0000FF"/>
                  <w:sz w:val="30"/>
                  <w:szCs w:val="30"/>
                </w:rPr>
                <w:t>постановления</w:t>
              </w:r>
            </w:hyperlink>
            <w:r w:rsidRPr="001F11BD">
              <w:rPr>
                <w:rFonts w:ascii="Times New Roman" w:hAnsi="Times New Roman" w:cs="Times New Roman"/>
                <w:color w:val="392C69"/>
                <w:sz w:val="30"/>
                <w:szCs w:val="30"/>
              </w:rPr>
              <w:t xml:space="preserve"> Совмина от 07.12.2020 N 711)</w:t>
            </w:r>
          </w:p>
        </w:tc>
        <w:tc>
          <w:tcPr>
            <w:tcW w:w="113" w:type="dxa"/>
            <w:tcBorders>
              <w:top w:val="nil"/>
              <w:left w:val="nil"/>
              <w:bottom w:val="nil"/>
              <w:right w:val="nil"/>
            </w:tcBorders>
            <w:shd w:val="clear" w:color="auto" w:fill="F4F3F8"/>
            <w:tcMar>
              <w:top w:w="0" w:type="dxa"/>
              <w:left w:w="0" w:type="dxa"/>
              <w:bottom w:w="0" w:type="dxa"/>
              <w:right w:w="0" w:type="dxa"/>
            </w:tcMar>
          </w:tcPr>
          <w:p w:rsidR="001F11BD" w:rsidRPr="001F11BD" w:rsidRDefault="001F11BD">
            <w:pPr>
              <w:pStyle w:val="ConsPlusNormal"/>
              <w:rPr>
                <w:rFonts w:ascii="Times New Roman" w:hAnsi="Times New Roman" w:cs="Times New Roman"/>
                <w:sz w:val="30"/>
                <w:szCs w:val="30"/>
              </w:rPr>
            </w:pPr>
          </w:p>
        </w:tc>
      </w:tr>
    </w:tbl>
    <w:p w:rsidR="001F11BD" w:rsidRPr="001F11BD" w:rsidRDefault="001F11BD">
      <w:pPr>
        <w:pStyle w:val="ConsPlusNormal"/>
        <w:rPr>
          <w:rFonts w:ascii="Times New Roman" w:hAnsi="Times New Roman" w:cs="Times New Roman"/>
          <w:sz w:val="30"/>
          <w:szCs w:val="30"/>
        </w:rPr>
      </w:pPr>
    </w:p>
    <w:p w:rsidR="001F11BD" w:rsidRDefault="001F11BD">
      <w:pPr>
        <w:pStyle w:val="ConsPlusNormal"/>
        <w:jc w:val="right"/>
      </w:pPr>
      <w:r>
        <w:t>(процентов)</w:t>
      </w:r>
    </w:p>
    <w:p w:rsidR="001F11BD" w:rsidRDefault="001F11BD">
      <w:pPr>
        <w:pStyle w:val="ConsPlusNormal"/>
        <w:sectPr w:rsidR="001F11BD" w:rsidSect="00D5390D">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35"/>
        <w:gridCol w:w="1155"/>
        <w:gridCol w:w="1455"/>
        <w:gridCol w:w="1455"/>
        <w:gridCol w:w="1455"/>
        <w:gridCol w:w="1710"/>
      </w:tblGrid>
      <w:tr w:rsidR="001F11BD">
        <w:tblPrEx>
          <w:tblCellMar>
            <w:top w:w="0" w:type="dxa"/>
            <w:bottom w:w="0" w:type="dxa"/>
          </w:tblCellMar>
        </w:tblPrEx>
        <w:tc>
          <w:tcPr>
            <w:tcW w:w="4335" w:type="dxa"/>
            <w:vMerge w:val="restart"/>
            <w:tcBorders>
              <w:top w:val="single" w:sz="4" w:space="0" w:color="auto"/>
              <w:left w:val="nil"/>
              <w:bottom w:val="single" w:sz="4" w:space="0" w:color="auto"/>
            </w:tcBorders>
            <w:tcMar>
              <w:top w:w="0" w:type="dxa"/>
              <w:left w:w="0" w:type="dxa"/>
              <w:bottom w:w="0" w:type="dxa"/>
              <w:right w:w="0" w:type="dxa"/>
            </w:tcMar>
            <w:vAlign w:val="center"/>
          </w:tcPr>
          <w:p w:rsidR="001F11BD" w:rsidRDefault="001F11BD">
            <w:pPr>
              <w:pStyle w:val="ConsPlusNormal"/>
              <w:jc w:val="center"/>
            </w:pPr>
            <w:r>
              <w:t>Наименование целевого индикатора</w:t>
            </w:r>
          </w:p>
        </w:tc>
        <w:tc>
          <w:tcPr>
            <w:tcW w:w="7230" w:type="dxa"/>
            <w:gridSpan w:val="5"/>
            <w:tcBorders>
              <w:top w:val="single" w:sz="4" w:space="0" w:color="auto"/>
              <w:bottom w:val="single" w:sz="4" w:space="0" w:color="auto"/>
              <w:right w:val="nil"/>
            </w:tcBorders>
            <w:tcMar>
              <w:top w:w="0" w:type="dxa"/>
              <w:left w:w="0" w:type="dxa"/>
              <w:bottom w:w="0" w:type="dxa"/>
              <w:right w:w="0" w:type="dxa"/>
            </w:tcMar>
            <w:vAlign w:val="center"/>
          </w:tcPr>
          <w:p w:rsidR="001F11BD" w:rsidRDefault="001F11BD">
            <w:pPr>
              <w:pStyle w:val="ConsPlusNormal"/>
              <w:jc w:val="center"/>
            </w:pPr>
            <w:r>
              <w:t>По годам</w:t>
            </w:r>
          </w:p>
        </w:tc>
      </w:tr>
      <w:tr w:rsidR="001F11BD">
        <w:tblPrEx>
          <w:tblCellMar>
            <w:top w:w="0" w:type="dxa"/>
            <w:bottom w:w="0" w:type="dxa"/>
          </w:tblCellMar>
        </w:tblPrEx>
        <w:tc>
          <w:tcPr>
            <w:tcW w:w="4335" w:type="dxa"/>
            <w:vMerge/>
            <w:tcBorders>
              <w:top w:val="single" w:sz="4" w:space="0" w:color="auto"/>
              <w:left w:val="nil"/>
              <w:bottom w:val="single" w:sz="4" w:space="0" w:color="auto"/>
            </w:tcBorders>
          </w:tcPr>
          <w:p w:rsidR="001F11BD" w:rsidRDefault="001F11BD">
            <w:pPr>
              <w:pStyle w:val="ConsPlusNormal"/>
            </w:pPr>
          </w:p>
        </w:tc>
        <w:tc>
          <w:tcPr>
            <w:tcW w:w="1155" w:type="dxa"/>
            <w:tcBorders>
              <w:top w:val="single" w:sz="4" w:space="0" w:color="auto"/>
              <w:bottom w:val="single" w:sz="4" w:space="0" w:color="auto"/>
            </w:tcBorders>
            <w:tcMar>
              <w:top w:w="0" w:type="dxa"/>
              <w:left w:w="0" w:type="dxa"/>
              <w:bottom w:w="0" w:type="dxa"/>
              <w:right w:w="0" w:type="dxa"/>
            </w:tcMar>
            <w:vAlign w:val="center"/>
          </w:tcPr>
          <w:p w:rsidR="001F11BD" w:rsidRDefault="001F11BD">
            <w:pPr>
              <w:pStyle w:val="ConsPlusNormal"/>
              <w:jc w:val="center"/>
            </w:pPr>
            <w:r>
              <w:t>2016</w:t>
            </w:r>
          </w:p>
        </w:tc>
        <w:tc>
          <w:tcPr>
            <w:tcW w:w="1455" w:type="dxa"/>
            <w:tcBorders>
              <w:top w:val="single" w:sz="4" w:space="0" w:color="auto"/>
              <w:bottom w:val="single" w:sz="4" w:space="0" w:color="auto"/>
            </w:tcBorders>
            <w:tcMar>
              <w:top w:w="0" w:type="dxa"/>
              <w:left w:w="0" w:type="dxa"/>
              <w:bottom w:w="0" w:type="dxa"/>
              <w:right w:w="0" w:type="dxa"/>
            </w:tcMar>
            <w:vAlign w:val="center"/>
          </w:tcPr>
          <w:p w:rsidR="001F11BD" w:rsidRDefault="001F11BD">
            <w:pPr>
              <w:pStyle w:val="ConsPlusNormal"/>
              <w:jc w:val="center"/>
            </w:pPr>
            <w:r>
              <w:t>2017</w:t>
            </w:r>
          </w:p>
        </w:tc>
        <w:tc>
          <w:tcPr>
            <w:tcW w:w="1455" w:type="dxa"/>
            <w:tcBorders>
              <w:top w:val="single" w:sz="4" w:space="0" w:color="auto"/>
              <w:bottom w:val="single" w:sz="4" w:space="0" w:color="auto"/>
            </w:tcBorders>
            <w:tcMar>
              <w:top w:w="0" w:type="dxa"/>
              <w:left w:w="0" w:type="dxa"/>
              <w:bottom w:w="0" w:type="dxa"/>
              <w:right w:w="0" w:type="dxa"/>
            </w:tcMar>
            <w:vAlign w:val="center"/>
          </w:tcPr>
          <w:p w:rsidR="001F11BD" w:rsidRDefault="001F11BD">
            <w:pPr>
              <w:pStyle w:val="ConsPlusNormal"/>
              <w:jc w:val="center"/>
            </w:pPr>
            <w:r>
              <w:t>2018</w:t>
            </w:r>
          </w:p>
        </w:tc>
        <w:tc>
          <w:tcPr>
            <w:tcW w:w="1455" w:type="dxa"/>
            <w:tcBorders>
              <w:top w:val="single" w:sz="4" w:space="0" w:color="auto"/>
              <w:bottom w:val="single" w:sz="4" w:space="0" w:color="auto"/>
            </w:tcBorders>
            <w:tcMar>
              <w:top w:w="0" w:type="dxa"/>
              <w:left w:w="0" w:type="dxa"/>
              <w:bottom w:w="0" w:type="dxa"/>
              <w:right w:w="0" w:type="dxa"/>
            </w:tcMar>
            <w:vAlign w:val="center"/>
          </w:tcPr>
          <w:p w:rsidR="001F11BD" w:rsidRDefault="001F11BD">
            <w:pPr>
              <w:pStyle w:val="ConsPlusNormal"/>
              <w:jc w:val="center"/>
            </w:pPr>
            <w:r>
              <w:t>2020</w:t>
            </w:r>
          </w:p>
        </w:tc>
        <w:tc>
          <w:tcPr>
            <w:tcW w:w="1710" w:type="dxa"/>
            <w:tcBorders>
              <w:top w:val="single" w:sz="4" w:space="0" w:color="auto"/>
              <w:bottom w:val="single" w:sz="4" w:space="0" w:color="auto"/>
              <w:right w:val="nil"/>
            </w:tcBorders>
            <w:tcMar>
              <w:top w:w="0" w:type="dxa"/>
              <w:left w:w="0" w:type="dxa"/>
              <w:bottom w:w="0" w:type="dxa"/>
              <w:right w:w="0" w:type="dxa"/>
            </w:tcMar>
            <w:vAlign w:val="center"/>
          </w:tcPr>
          <w:p w:rsidR="001F11BD" w:rsidRDefault="001F11BD">
            <w:pPr>
              <w:pStyle w:val="ConsPlusNormal"/>
              <w:jc w:val="center"/>
            </w:pPr>
            <w:r>
              <w:t>2025</w:t>
            </w:r>
          </w:p>
        </w:tc>
      </w:tr>
      <w:tr w:rsidR="001F11BD">
        <w:tblPrEx>
          <w:tblBorders>
            <w:insideH w:val="none" w:sz="0" w:space="0" w:color="auto"/>
            <w:insideV w:val="none" w:sz="0" w:space="0" w:color="auto"/>
          </w:tblBorders>
          <w:tblCellMar>
            <w:top w:w="0" w:type="dxa"/>
            <w:bottom w:w="0" w:type="dxa"/>
          </w:tblCellMar>
        </w:tblPrEx>
        <w:tc>
          <w:tcPr>
            <w:tcW w:w="11565" w:type="dxa"/>
            <w:gridSpan w:val="6"/>
            <w:tcBorders>
              <w:top w:val="single" w:sz="4" w:space="0" w:color="auto"/>
              <w:left w:val="nil"/>
              <w:bottom w:val="nil"/>
              <w:right w:val="nil"/>
            </w:tcBorders>
            <w:tcMar>
              <w:top w:w="0" w:type="dxa"/>
              <w:left w:w="0" w:type="dxa"/>
              <w:bottom w:w="0" w:type="dxa"/>
              <w:right w:w="0" w:type="dxa"/>
            </w:tcMar>
          </w:tcPr>
          <w:p w:rsidR="001F11BD" w:rsidRDefault="001F11BD">
            <w:pPr>
              <w:pStyle w:val="ConsPlusNormal"/>
              <w:jc w:val="center"/>
              <w:outlineLvl w:val="2"/>
            </w:pPr>
            <w:r>
              <w:rPr>
                <w:b/>
              </w:rPr>
              <w:t>Устойчивое развитие ЖКХ</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nil"/>
              <w:right w:val="nil"/>
            </w:tcBorders>
            <w:tcMar>
              <w:top w:w="0" w:type="dxa"/>
              <w:left w:w="0" w:type="dxa"/>
              <w:bottom w:w="0" w:type="dxa"/>
              <w:right w:w="0" w:type="dxa"/>
            </w:tcMar>
          </w:tcPr>
          <w:p w:rsidR="001F11BD" w:rsidRDefault="001F11BD">
            <w:pPr>
              <w:pStyle w:val="ConsPlusNormal"/>
            </w:pPr>
            <w:r>
              <w:t>Снижение затрат</w:t>
            </w:r>
          </w:p>
        </w:tc>
        <w:tc>
          <w:tcPr>
            <w:tcW w:w="11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16,6</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5,0</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5,0</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5,0</w:t>
            </w:r>
          </w:p>
        </w:tc>
        <w:tc>
          <w:tcPr>
            <w:tcW w:w="1710"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5,0</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nil"/>
              <w:right w:val="nil"/>
            </w:tcBorders>
            <w:tcMar>
              <w:top w:w="0" w:type="dxa"/>
              <w:left w:w="0" w:type="dxa"/>
              <w:bottom w:w="0" w:type="dxa"/>
              <w:right w:w="0" w:type="dxa"/>
            </w:tcMar>
          </w:tcPr>
          <w:p w:rsidR="001F11BD" w:rsidRDefault="001F11BD">
            <w:pPr>
              <w:pStyle w:val="ConsPlusNormal"/>
            </w:pPr>
            <w:r>
              <w:t>Износ основных средств, участвующих в производственном процессе</w:t>
            </w:r>
          </w:p>
        </w:tc>
        <w:tc>
          <w:tcPr>
            <w:tcW w:w="11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40,4</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40,6</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40,3</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39,0</w:t>
            </w:r>
          </w:p>
        </w:tc>
        <w:tc>
          <w:tcPr>
            <w:tcW w:w="1710"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38,0</w:t>
            </w:r>
          </w:p>
        </w:tc>
      </w:tr>
      <w:tr w:rsidR="001F11BD">
        <w:tblPrEx>
          <w:tblBorders>
            <w:insideH w:val="none" w:sz="0" w:space="0" w:color="auto"/>
            <w:insideV w:val="none" w:sz="0" w:space="0" w:color="auto"/>
          </w:tblBorders>
          <w:tblCellMar>
            <w:top w:w="0" w:type="dxa"/>
            <w:bottom w:w="0" w:type="dxa"/>
          </w:tblCellMar>
        </w:tblPrEx>
        <w:tc>
          <w:tcPr>
            <w:tcW w:w="11565" w:type="dxa"/>
            <w:gridSpan w:val="6"/>
            <w:tcBorders>
              <w:top w:val="nil"/>
              <w:left w:val="nil"/>
              <w:bottom w:val="nil"/>
              <w:right w:val="nil"/>
            </w:tcBorders>
            <w:tcMar>
              <w:top w:w="0" w:type="dxa"/>
              <w:left w:w="0" w:type="dxa"/>
              <w:bottom w:w="0" w:type="dxa"/>
              <w:right w:w="0" w:type="dxa"/>
            </w:tcMar>
          </w:tcPr>
          <w:p w:rsidR="001F11BD" w:rsidRDefault="001F11BD">
            <w:pPr>
              <w:pStyle w:val="ConsPlusNormal"/>
              <w:jc w:val="center"/>
              <w:outlineLvl w:val="2"/>
            </w:pPr>
            <w:r>
              <w:rPr>
                <w:b/>
              </w:rPr>
              <w:t>Обращение с ТКО</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nil"/>
              <w:right w:val="nil"/>
            </w:tcBorders>
            <w:tcMar>
              <w:top w:w="0" w:type="dxa"/>
              <w:left w:w="0" w:type="dxa"/>
              <w:bottom w:w="0" w:type="dxa"/>
              <w:right w:w="0" w:type="dxa"/>
            </w:tcMar>
          </w:tcPr>
          <w:p w:rsidR="001F11BD" w:rsidRDefault="001F11BD">
            <w:pPr>
              <w:pStyle w:val="ConsPlusNormal"/>
            </w:pPr>
            <w:r>
              <w:t>Уровень использования ТКО</w:t>
            </w:r>
          </w:p>
        </w:tc>
        <w:tc>
          <w:tcPr>
            <w:tcW w:w="11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15,8</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16,5</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18,0</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25,0</w:t>
            </w:r>
          </w:p>
        </w:tc>
        <w:tc>
          <w:tcPr>
            <w:tcW w:w="1710"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64,0</w:t>
            </w:r>
          </w:p>
        </w:tc>
      </w:tr>
      <w:tr w:rsidR="001F11BD">
        <w:tblPrEx>
          <w:tblBorders>
            <w:insideH w:val="none" w:sz="0" w:space="0" w:color="auto"/>
            <w:insideV w:val="none" w:sz="0" w:space="0" w:color="auto"/>
          </w:tblBorders>
          <w:tblCellMar>
            <w:top w:w="0" w:type="dxa"/>
            <w:bottom w:w="0" w:type="dxa"/>
          </w:tblCellMar>
        </w:tblPrEx>
        <w:tc>
          <w:tcPr>
            <w:tcW w:w="11565" w:type="dxa"/>
            <w:gridSpan w:val="6"/>
            <w:tcBorders>
              <w:top w:val="nil"/>
              <w:left w:val="nil"/>
              <w:bottom w:val="nil"/>
              <w:right w:val="nil"/>
            </w:tcBorders>
            <w:tcMar>
              <w:top w:w="0" w:type="dxa"/>
              <w:left w:w="0" w:type="dxa"/>
              <w:bottom w:w="0" w:type="dxa"/>
              <w:right w:w="0" w:type="dxa"/>
            </w:tcMar>
          </w:tcPr>
          <w:p w:rsidR="001F11BD" w:rsidRDefault="001F11BD">
            <w:pPr>
              <w:pStyle w:val="ConsPlusNormal"/>
              <w:jc w:val="both"/>
            </w:pPr>
            <w:r>
              <w:t xml:space="preserve">(в ред. </w:t>
            </w:r>
            <w:hyperlink r:id="rId29">
              <w:r>
                <w:rPr>
                  <w:color w:val="0000FF"/>
                </w:rPr>
                <w:t>постановления</w:t>
              </w:r>
            </w:hyperlink>
            <w:r>
              <w:t xml:space="preserve"> Совмина от 07.12.2020 N 711)</w:t>
            </w:r>
          </w:p>
        </w:tc>
      </w:tr>
      <w:tr w:rsidR="001F11BD">
        <w:tblPrEx>
          <w:tblBorders>
            <w:insideH w:val="none" w:sz="0" w:space="0" w:color="auto"/>
            <w:insideV w:val="none" w:sz="0" w:space="0" w:color="auto"/>
          </w:tblBorders>
          <w:tblCellMar>
            <w:top w:w="0" w:type="dxa"/>
            <w:bottom w:w="0" w:type="dxa"/>
          </w:tblCellMar>
        </w:tblPrEx>
        <w:tc>
          <w:tcPr>
            <w:tcW w:w="11565" w:type="dxa"/>
            <w:gridSpan w:val="6"/>
            <w:tcBorders>
              <w:top w:val="nil"/>
              <w:left w:val="nil"/>
              <w:bottom w:val="nil"/>
              <w:right w:val="nil"/>
            </w:tcBorders>
            <w:tcMar>
              <w:top w:w="0" w:type="dxa"/>
              <w:left w:w="0" w:type="dxa"/>
              <w:bottom w:w="0" w:type="dxa"/>
              <w:right w:w="0" w:type="dxa"/>
            </w:tcMar>
          </w:tcPr>
          <w:p w:rsidR="001F11BD" w:rsidRDefault="001F11BD">
            <w:pPr>
              <w:pStyle w:val="ConsPlusNormal"/>
              <w:jc w:val="center"/>
              <w:outlineLvl w:val="2"/>
            </w:pPr>
            <w:r>
              <w:rPr>
                <w:b/>
              </w:rPr>
              <w:t>Водоснабжение, водоотведение (канализация)</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nil"/>
              <w:right w:val="nil"/>
            </w:tcBorders>
            <w:tcMar>
              <w:top w:w="0" w:type="dxa"/>
              <w:left w:w="0" w:type="dxa"/>
              <w:bottom w:w="0" w:type="dxa"/>
              <w:right w:w="0" w:type="dxa"/>
            </w:tcMar>
          </w:tcPr>
          <w:p w:rsidR="001F11BD" w:rsidRDefault="001F11BD">
            <w:pPr>
              <w:pStyle w:val="ConsPlusNormal"/>
            </w:pPr>
            <w:r>
              <w:t>Потери и неучтенный расход воды, не более</w:t>
            </w:r>
          </w:p>
        </w:tc>
        <w:tc>
          <w:tcPr>
            <w:tcW w:w="11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17,8</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12,0</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12,0</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12,0</w:t>
            </w:r>
          </w:p>
        </w:tc>
        <w:tc>
          <w:tcPr>
            <w:tcW w:w="1710"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12,0</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nil"/>
              <w:right w:val="nil"/>
            </w:tcBorders>
            <w:tcMar>
              <w:top w:w="0" w:type="dxa"/>
              <w:left w:w="0" w:type="dxa"/>
              <w:bottom w:w="0" w:type="dxa"/>
              <w:right w:w="0" w:type="dxa"/>
            </w:tcMar>
          </w:tcPr>
          <w:p w:rsidR="001F11BD" w:rsidRDefault="001F11BD">
            <w:pPr>
              <w:pStyle w:val="ConsPlusNormal"/>
            </w:pPr>
            <w:r>
              <w:t>Обеспечение потребителей водоснабжением питьевого качества</w:t>
            </w:r>
          </w:p>
        </w:tc>
        <w:tc>
          <w:tcPr>
            <w:tcW w:w="11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86,7</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86,9</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90,9</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93,4</w:t>
            </w:r>
          </w:p>
        </w:tc>
        <w:tc>
          <w:tcPr>
            <w:tcW w:w="1710"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100,0</w:t>
            </w:r>
          </w:p>
        </w:tc>
      </w:tr>
      <w:tr w:rsidR="001F11BD">
        <w:tblPrEx>
          <w:tblBorders>
            <w:insideH w:val="none" w:sz="0" w:space="0" w:color="auto"/>
            <w:insideV w:val="none" w:sz="0" w:space="0" w:color="auto"/>
          </w:tblBorders>
          <w:tblCellMar>
            <w:top w:w="0" w:type="dxa"/>
            <w:bottom w:w="0" w:type="dxa"/>
          </w:tblCellMar>
        </w:tblPrEx>
        <w:tc>
          <w:tcPr>
            <w:tcW w:w="11565" w:type="dxa"/>
            <w:gridSpan w:val="6"/>
            <w:tcBorders>
              <w:top w:val="nil"/>
              <w:left w:val="nil"/>
              <w:bottom w:val="nil"/>
              <w:right w:val="nil"/>
            </w:tcBorders>
            <w:tcMar>
              <w:top w:w="0" w:type="dxa"/>
              <w:left w:w="0" w:type="dxa"/>
              <w:bottom w:w="0" w:type="dxa"/>
              <w:right w:w="0" w:type="dxa"/>
            </w:tcMar>
          </w:tcPr>
          <w:p w:rsidR="001F11BD" w:rsidRDefault="001F11BD">
            <w:pPr>
              <w:pStyle w:val="ConsPlusNormal"/>
              <w:jc w:val="both"/>
            </w:pPr>
            <w:r>
              <w:t xml:space="preserve">Позиции исключены. - </w:t>
            </w:r>
            <w:hyperlink r:id="rId30">
              <w:r>
                <w:rPr>
                  <w:color w:val="0000FF"/>
                </w:rPr>
                <w:t>Постановление</w:t>
              </w:r>
            </w:hyperlink>
            <w:r>
              <w:t xml:space="preserve"> Совмина от 07.12.2020 N 711</w:t>
            </w:r>
          </w:p>
        </w:tc>
      </w:tr>
      <w:tr w:rsidR="001F11BD">
        <w:tblPrEx>
          <w:tblBorders>
            <w:insideH w:val="none" w:sz="0" w:space="0" w:color="auto"/>
            <w:insideV w:val="none" w:sz="0" w:space="0" w:color="auto"/>
          </w:tblBorders>
          <w:tblCellMar>
            <w:top w:w="0" w:type="dxa"/>
            <w:bottom w:w="0" w:type="dxa"/>
          </w:tblCellMar>
        </w:tblPrEx>
        <w:tc>
          <w:tcPr>
            <w:tcW w:w="11565" w:type="dxa"/>
            <w:gridSpan w:val="6"/>
            <w:tcBorders>
              <w:top w:val="nil"/>
              <w:left w:val="nil"/>
              <w:bottom w:val="nil"/>
              <w:right w:val="nil"/>
            </w:tcBorders>
            <w:tcMar>
              <w:top w:w="0" w:type="dxa"/>
              <w:left w:w="0" w:type="dxa"/>
              <w:bottom w:w="0" w:type="dxa"/>
              <w:right w:w="0" w:type="dxa"/>
            </w:tcMar>
          </w:tcPr>
          <w:p w:rsidR="001F11BD" w:rsidRDefault="001F11BD">
            <w:pPr>
              <w:pStyle w:val="ConsPlusNormal"/>
              <w:jc w:val="center"/>
              <w:outlineLvl w:val="2"/>
            </w:pPr>
            <w:r>
              <w:rPr>
                <w:b/>
              </w:rPr>
              <w:t>Теплоснабжение</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nil"/>
              <w:right w:val="nil"/>
            </w:tcBorders>
            <w:tcMar>
              <w:top w:w="0" w:type="dxa"/>
              <w:left w:w="0" w:type="dxa"/>
              <w:bottom w:w="0" w:type="dxa"/>
              <w:right w:w="0" w:type="dxa"/>
            </w:tcMar>
          </w:tcPr>
          <w:p w:rsidR="001F11BD" w:rsidRDefault="001F11BD">
            <w:pPr>
              <w:pStyle w:val="ConsPlusNormal"/>
            </w:pPr>
            <w:r>
              <w:t>Потери тепловой энергии, не более</w:t>
            </w:r>
          </w:p>
        </w:tc>
        <w:tc>
          <w:tcPr>
            <w:tcW w:w="11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12,0</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12,0</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11,0</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10,0</w:t>
            </w:r>
          </w:p>
        </w:tc>
        <w:tc>
          <w:tcPr>
            <w:tcW w:w="1710"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9,0</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nil"/>
              <w:right w:val="nil"/>
            </w:tcBorders>
            <w:tcMar>
              <w:top w:w="0" w:type="dxa"/>
              <w:left w:w="0" w:type="dxa"/>
              <w:bottom w:w="0" w:type="dxa"/>
              <w:right w:w="0" w:type="dxa"/>
            </w:tcMar>
          </w:tcPr>
          <w:p w:rsidR="001F11BD" w:rsidRDefault="001F11BD">
            <w:pPr>
              <w:pStyle w:val="ConsPlusNormal"/>
            </w:pPr>
            <w:r>
              <w:t>Доля местных видов топливно-энергетических ресурсов в общем объеме котельно-печного топлива</w:t>
            </w:r>
          </w:p>
        </w:tc>
        <w:tc>
          <w:tcPr>
            <w:tcW w:w="11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40,7</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40,7</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43,8</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45,2</w:t>
            </w:r>
          </w:p>
        </w:tc>
        <w:tc>
          <w:tcPr>
            <w:tcW w:w="1710"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50,2</w:t>
            </w:r>
          </w:p>
        </w:tc>
      </w:tr>
      <w:tr w:rsidR="001F11BD">
        <w:tblPrEx>
          <w:tblBorders>
            <w:insideH w:val="none" w:sz="0" w:space="0" w:color="auto"/>
            <w:insideV w:val="none" w:sz="0" w:space="0" w:color="auto"/>
          </w:tblBorders>
          <w:tblCellMar>
            <w:top w:w="0" w:type="dxa"/>
            <w:bottom w:w="0" w:type="dxa"/>
          </w:tblCellMar>
        </w:tblPrEx>
        <w:tc>
          <w:tcPr>
            <w:tcW w:w="11565" w:type="dxa"/>
            <w:gridSpan w:val="6"/>
            <w:tcBorders>
              <w:top w:val="nil"/>
              <w:left w:val="nil"/>
              <w:bottom w:val="nil"/>
              <w:right w:val="nil"/>
            </w:tcBorders>
            <w:tcMar>
              <w:top w:w="0" w:type="dxa"/>
              <w:left w:w="0" w:type="dxa"/>
              <w:bottom w:w="0" w:type="dxa"/>
              <w:right w:w="0" w:type="dxa"/>
            </w:tcMar>
          </w:tcPr>
          <w:p w:rsidR="001F11BD" w:rsidRDefault="001F11BD">
            <w:pPr>
              <w:pStyle w:val="ConsPlusNormal"/>
              <w:jc w:val="center"/>
              <w:outlineLvl w:val="2"/>
            </w:pPr>
            <w:r>
              <w:rPr>
                <w:b/>
              </w:rPr>
              <w:t>Эксплуатация жилищного фонда</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nil"/>
              <w:right w:val="nil"/>
            </w:tcBorders>
            <w:tcMar>
              <w:top w:w="0" w:type="dxa"/>
              <w:left w:w="0" w:type="dxa"/>
              <w:bottom w:w="0" w:type="dxa"/>
              <w:right w:w="0" w:type="dxa"/>
            </w:tcMar>
          </w:tcPr>
          <w:p w:rsidR="001F11BD" w:rsidRDefault="001F11BD">
            <w:pPr>
              <w:pStyle w:val="ConsPlusNormal"/>
            </w:pPr>
            <w:r>
              <w:t>Доля ввода общей площади жилых домов после капитального ремонта к эксплуатируемой площади жилищного фонда</w:t>
            </w:r>
          </w:p>
        </w:tc>
        <w:tc>
          <w:tcPr>
            <w:tcW w:w="11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2,1</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2,3</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2,5</w:t>
            </w:r>
          </w:p>
        </w:tc>
        <w:tc>
          <w:tcPr>
            <w:tcW w:w="1455"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3,0</w:t>
            </w:r>
          </w:p>
        </w:tc>
        <w:tc>
          <w:tcPr>
            <w:tcW w:w="1710" w:type="dxa"/>
            <w:tcBorders>
              <w:top w:val="nil"/>
              <w:left w:val="nil"/>
              <w:bottom w:val="nil"/>
              <w:right w:val="nil"/>
            </w:tcBorders>
            <w:tcMar>
              <w:top w:w="0" w:type="dxa"/>
              <w:left w:w="0" w:type="dxa"/>
              <w:bottom w:w="0" w:type="dxa"/>
              <w:right w:w="0" w:type="dxa"/>
            </w:tcMar>
            <w:vAlign w:val="bottom"/>
          </w:tcPr>
          <w:p w:rsidR="001F11BD" w:rsidRDefault="001F11BD">
            <w:pPr>
              <w:pStyle w:val="ConsPlusNormal"/>
              <w:jc w:val="center"/>
            </w:pPr>
            <w:r>
              <w:t>3,0</w:t>
            </w:r>
          </w:p>
        </w:tc>
      </w:tr>
      <w:tr w:rsidR="001F11BD">
        <w:tblPrEx>
          <w:tblBorders>
            <w:insideH w:val="none" w:sz="0" w:space="0" w:color="auto"/>
            <w:insideV w:val="none" w:sz="0" w:space="0" w:color="auto"/>
          </w:tblBorders>
          <w:tblCellMar>
            <w:top w:w="0" w:type="dxa"/>
            <w:bottom w:w="0" w:type="dxa"/>
          </w:tblCellMar>
        </w:tblPrEx>
        <w:tc>
          <w:tcPr>
            <w:tcW w:w="4335" w:type="dxa"/>
            <w:tcBorders>
              <w:top w:val="nil"/>
              <w:left w:val="nil"/>
              <w:bottom w:val="single" w:sz="4" w:space="0" w:color="auto"/>
              <w:right w:val="nil"/>
            </w:tcBorders>
            <w:tcMar>
              <w:top w:w="0" w:type="dxa"/>
              <w:left w:w="0" w:type="dxa"/>
              <w:bottom w:w="0" w:type="dxa"/>
              <w:right w:w="0" w:type="dxa"/>
            </w:tcMar>
          </w:tcPr>
          <w:p w:rsidR="001F11BD" w:rsidRDefault="001F11BD">
            <w:pPr>
              <w:pStyle w:val="ConsPlusNormal"/>
            </w:pPr>
            <w:r>
              <w:t>Доля лифтов, эксплуатируемых свыше нормативных сроков в общем объеме лифтов в жилых домах</w:t>
            </w:r>
          </w:p>
        </w:tc>
        <w:tc>
          <w:tcPr>
            <w:tcW w:w="1155" w:type="dxa"/>
            <w:tcBorders>
              <w:top w:val="nil"/>
              <w:left w:val="nil"/>
              <w:bottom w:val="single" w:sz="4" w:space="0" w:color="auto"/>
              <w:right w:val="nil"/>
            </w:tcBorders>
            <w:tcMar>
              <w:top w:w="0" w:type="dxa"/>
              <w:left w:w="0" w:type="dxa"/>
              <w:bottom w:w="0" w:type="dxa"/>
              <w:right w:w="0" w:type="dxa"/>
            </w:tcMar>
            <w:vAlign w:val="bottom"/>
          </w:tcPr>
          <w:p w:rsidR="001F11BD" w:rsidRDefault="001F11BD">
            <w:pPr>
              <w:pStyle w:val="ConsPlusNormal"/>
              <w:jc w:val="center"/>
            </w:pPr>
            <w:r>
              <w:t>32,9</w:t>
            </w:r>
          </w:p>
        </w:tc>
        <w:tc>
          <w:tcPr>
            <w:tcW w:w="1455" w:type="dxa"/>
            <w:tcBorders>
              <w:top w:val="nil"/>
              <w:left w:val="nil"/>
              <w:bottom w:val="single" w:sz="4" w:space="0" w:color="auto"/>
              <w:right w:val="nil"/>
            </w:tcBorders>
            <w:tcMar>
              <w:top w:w="0" w:type="dxa"/>
              <w:left w:w="0" w:type="dxa"/>
              <w:bottom w:w="0" w:type="dxa"/>
              <w:right w:w="0" w:type="dxa"/>
            </w:tcMar>
            <w:vAlign w:val="bottom"/>
          </w:tcPr>
          <w:p w:rsidR="001F11BD" w:rsidRDefault="001F11BD">
            <w:pPr>
              <w:pStyle w:val="ConsPlusNormal"/>
              <w:jc w:val="center"/>
            </w:pPr>
            <w:r>
              <w:t>31,0</w:t>
            </w:r>
          </w:p>
        </w:tc>
        <w:tc>
          <w:tcPr>
            <w:tcW w:w="1455" w:type="dxa"/>
            <w:tcBorders>
              <w:top w:val="nil"/>
              <w:left w:val="nil"/>
              <w:bottom w:val="single" w:sz="4" w:space="0" w:color="auto"/>
              <w:right w:val="nil"/>
            </w:tcBorders>
            <w:tcMar>
              <w:top w:w="0" w:type="dxa"/>
              <w:left w:w="0" w:type="dxa"/>
              <w:bottom w:w="0" w:type="dxa"/>
              <w:right w:w="0" w:type="dxa"/>
            </w:tcMar>
            <w:vAlign w:val="bottom"/>
          </w:tcPr>
          <w:p w:rsidR="001F11BD" w:rsidRDefault="001F11BD">
            <w:pPr>
              <w:pStyle w:val="ConsPlusNormal"/>
              <w:jc w:val="center"/>
            </w:pPr>
            <w:r>
              <w:t>20,3</w:t>
            </w:r>
          </w:p>
        </w:tc>
        <w:tc>
          <w:tcPr>
            <w:tcW w:w="1455" w:type="dxa"/>
            <w:tcBorders>
              <w:top w:val="nil"/>
              <w:left w:val="nil"/>
              <w:bottom w:val="single" w:sz="4" w:space="0" w:color="auto"/>
              <w:right w:val="nil"/>
            </w:tcBorders>
            <w:tcMar>
              <w:top w:w="0" w:type="dxa"/>
              <w:left w:w="0" w:type="dxa"/>
              <w:bottom w:w="0" w:type="dxa"/>
              <w:right w:w="0" w:type="dxa"/>
            </w:tcMar>
            <w:vAlign w:val="bottom"/>
          </w:tcPr>
          <w:p w:rsidR="001F11BD" w:rsidRDefault="001F11BD">
            <w:pPr>
              <w:pStyle w:val="ConsPlusNormal"/>
              <w:jc w:val="center"/>
            </w:pPr>
            <w:r>
              <w:t>-</w:t>
            </w:r>
          </w:p>
        </w:tc>
        <w:tc>
          <w:tcPr>
            <w:tcW w:w="1710" w:type="dxa"/>
            <w:tcBorders>
              <w:top w:val="nil"/>
              <w:left w:val="nil"/>
              <w:bottom w:val="single" w:sz="4" w:space="0" w:color="auto"/>
              <w:right w:val="nil"/>
            </w:tcBorders>
            <w:tcMar>
              <w:top w:w="0" w:type="dxa"/>
              <w:left w:w="0" w:type="dxa"/>
              <w:bottom w:w="0" w:type="dxa"/>
              <w:right w:w="0" w:type="dxa"/>
            </w:tcMar>
            <w:vAlign w:val="bottom"/>
          </w:tcPr>
          <w:p w:rsidR="001F11BD" w:rsidRDefault="001F11BD">
            <w:pPr>
              <w:pStyle w:val="ConsPlusNormal"/>
              <w:jc w:val="center"/>
            </w:pPr>
            <w:r>
              <w:t>-</w:t>
            </w:r>
          </w:p>
        </w:tc>
      </w:tr>
    </w:tbl>
    <w:p w:rsidR="001F11BD" w:rsidRDefault="001F11BD">
      <w:pPr>
        <w:pStyle w:val="ConsPlusNormal"/>
      </w:pPr>
    </w:p>
    <w:p w:rsidR="001F11BD" w:rsidRDefault="001F11BD">
      <w:pPr>
        <w:pStyle w:val="ConsPlusNormal"/>
      </w:pPr>
    </w:p>
    <w:p w:rsidR="001F11BD" w:rsidRDefault="001F11BD">
      <w:pPr>
        <w:pStyle w:val="ConsPlusNormal"/>
        <w:pBdr>
          <w:bottom w:val="single" w:sz="6" w:space="0" w:color="auto"/>
        </w:pBdr>
        <w:spacing w:before="100" w:after="100"/>
        <w:jc w:val="both"/>
        <w:rPr>
          <w:sz w:val="2"/>
          <w:szCs w:val="2"/>
        </w:rPr>
      </w:pPr>
    </w:p>
    <w:p w:rsidR="008F1891" w:rsidRDefault="008F1891"/>
    <w:sectPr w:rsidR="008F189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BD"/>
    <w:rsid w:val="001F11BD"/>
    <w:rsid w:val="008F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1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11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11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11B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1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11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11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11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FFF0FB385C245D94CA3C5A497319B5F1CEFDF872626B4EC75BD98B80AADCC9461BB5A24DFDDE7547C0C14529D58D8B5AB5055B5899659AE3510AE53g0dCM" TargetMode="External"/><Relationship Id="rId13" Type="http://schemas.openxmlformats.org/officeDocument/2006/relationships/hyperlink" Target="consultantplus://offline/ref=84BFFF0FB385C245D94CA3C5A497319B5F1CEFDF872521BFE574BC98B80AADCC9461BB5A24DFDDE7547C0C16549D58D8B5AB5055B5899659AE3510AE53g0dCM" TargetMode="External"/><Relationship Id="rId18" Type="http://schemas.openxmlformats.org/officeDocument/2006/relationships/hyperlink" Target="consultantplus://offline/ref=84BFFF0FB385C245D94CA3C5A497319B5F1CEFDF872626B7E270B998B80AADCC9461BB5A24DFDDE7547C0C15529658D8B5AB5055B5899659AE3510AE53g0dCM" TargetMode="External"/><Relationship Id="rId26" Type="http://schemas.openxmlformats.org/officeDocument/2006/relationships/hyperlink" Target="consultantplus://offline/ref=84BFFF0FB385C245D94CA3C5A497319B5F1CEFDF872522BEE376BF98B80AADCC9461BB5A24DFDDE7547C0C10529C58D8B5AB5055B5899659AE3510AE53g0dCM" TargetMode="External"/><Relationship Id="rId3" Type="http://schemas.openxmlformats.org/officeDocument/2006/relationships/settings" Target="settings.xml"/><Relationship Id="rId21" Type="http://schemas.openxmlformats.org/officeDocument/2006/relationships/hyperlink" Target="consultantplus://offline/ref=84BFFF0FB385C245D94CA3C5A497319B5F1CEFDF872521BFE475B898B80AADCC9461BB5A24CDDDBF587D0F0854954D8EE4EDg0d0M" TargetMode="External"/><Relationship Id="rId7" Type="http://schemas.openxmlformats.org/officeDocument/2006/relationships/hyperlink" Target="consultantplus://offline/ref=84BFFF0FB385C245D94CA3C5A497319B5F1CEFDF872626B7E270B998B80AADCC9461BB5A24DFDDE7547C0C15529658D8B5AB5055B5899659AE3510AE53g0dCM" TargetMode="External"/><Relationship Id="rId12" Type="http://schemas.openxmlformats.org/officeDocument/2006/relationships/hyperlink" Target="consultantplus://offline/ref=84BFFF0FB385C245D94CA3C5A497319B5F1CEFDF872626B4EC75BD98B80AADCC9461BB5A24DFDDE7547C0C14529D58D8B5AB5055B5899659AE3510AE53g0dCM" TargetMode="External"/><Relationship Id="rId17" Type="http://schemas.openxmlformats.org/officeDocument/2006/relationships/hyperlink" Target="consultantplus://offline/ref=84BFFF0FB385C245D94CA3C5A497319B5F1CEFDF872520BFE174BD98B80AADCC9461BB5A24CDDDBF587D0F0854954D8EE4EDg0d0M" TargetMode="External"/><Relationship Id="rId25" Type="http://schemas.openxmlformats.org/officeDocument/2006/relationships/hyperlink" Target="consultantplus://offline/ref=84BFFF0FB385C245D94CA3C5A497319B5F1CEFDF872526B4E175BB98B80AADCC9461BB5A24CDDDBF587D0F0854954D8EE4EDg0d0M" TargetMode="External"/><Relationship Id="rId2" Type="http://schemas.microsoft.com/office/2007/relationships/stylesWithEffects" Target="stylesWithEffects.xml"/><Relationship Id="rId16" Type="http://schemas.openxmlformats.org/officeDocument/2006/relationships/hyperlink" Target="consultantplus://offline/ref=84BFFF0FB385C245D94CA3C5A497319B5F1CEFDF872521B0E270B698B80AADCC9461BB5A24DFDDE7547C0C16549D58D8B5AB5055B5899659AE3510AE53g0dCM" TargetMode="External"/><Relationship Id="rId20" Type="http://schemas.openxmlformats.org/officeDocument/2006/relationships/hyperlink" Target="consultantplus://offline/ref=84BFFF0FB385C245D94CA3C5A497319B5F1CEFDF872626B4EC75BD98B80AADCC9461BB5A24DFDDE7547C0C14529D58D8B5AB5055B5899659AE3510AE53g0dCM" TargetMode="External"/><Relationship Id="rId29" Type="http://schemas.openxmlformats.org/officeDocument/2006/relationships/hyperlink" Target="consultantplus://offline/ref=84BFFF0FB385C245D94CA3C5A497319B5F1CEFDF872523B7E471BB98B80AADCC9461BB5A24DFDDE7547C0C16509058D8B5AB5055B5899659AE3510AE53g0dCM" TargetMode="External"/><Relationship Id="rId1" Type="http://schemas.openxmlformats.org/officeDocument/2006/relationships/styles" Target="styles.xml"/><Relationship Id="rId6" Type="http://schemas.openxmlformats.org/officeDocument/2006/relationships/hyperlink" Target="consultantplus://offline/ref=84BFFF0FB385C245D94CA3C5A497319B5F1CEFDF872523B7E471BB98B80AADCC9461BB5A24DFDDE7547C0C16509758D8B5AB5055B5899659AE3510AE53g0dCM" TargetMode="External"/><Relationship Id="rId11" Type="http://schemas.openxmlformats.org/officeDocument/2006/relationships/hyperlink" Target="consultantplus://offline/ref=84BFFF0FB385C245D94CA3C5A497319B5F1CEFDF872626B7E270B998B80AADCC9461BB5A24DFDDE7547C0C15529658D8B5AB5055B5899659AE3510AE53g0dCM" TargetMode="External"/><Relationship Id="rId24" Type="http://schemas.openxmlformats.org/officeDocument/2006/relationships/hyperlink" Target="consultantplus://offline/ref=84BFFF0FB385C245D94CA3C5A497319B5F1CEFDF872520BFE475BB98B80AADCC9461BB5A24CDDDBF587D0F0854954D8EE4EDg0d0M" TargetMode="External"/><Relationship Id="rId32" Type="http://schemas.openxmlformats.org/officeDocument/2006/relationships/theme" Target="theme/theme1.xml"/><Relationship Id="rId5" Type="http://schemas.openxmlformats.org/officeDocument/2006/relationships/hyperlink" Target="consultantplus://offline/ref=84BFFF0FB385C245D94CA3C5A497319B5F1CEFDF872522BEE376BF98B80AADCC9461BB5A24DFDDE7547C0C10529C58D8B5AB5055B5899659AE3510AE53g0dCM" TargetMode="External"/><Relationship Id="rId15" Type="http://schemas.openxmlformats.org/officeDocument/2006/relationships/hyperlink" Target="consultantplus://offline/ref=84BFFF0FB385C245D94CA3C5A497319B5F1CEFDF872521B1E171BC98B80AADCC9461BB5A24DFDDE7547C0C16569158D8B5AB5055B5899659AE3510AE53g0dCM" TargetMode="External"/><Relationship Id="rId23" Type="http://schemas.openxmlformats.org/officeDocument/2006/relationships/hyperlink" Target="consultantplus://offline/ref=84BFFF0FB385C245D94CA3C5A497319B5F1CEFDF872527B5E373B998B80AADCC9461BB5A24CDDDBF587D0F0854954D8EE4EDg0d0M" TargetMode="External"/><Relationship Id="rId28" Type="http://schemas.openxmlformats.org/officeDocument/2006/relationships/hyperlink" Target="consultantplus://offline/ref=84BFFF0FB385C245D94CA3C5A497319B5F1CEFDF872523B7E471BB98B80AADCC9461BB5A24DFDDE7547C0C16509758D8B5AB5055B5899659AE3510AE53g0dCM" TargetMode="External"/><Relationship Id="rId10" Type="http://schemas.openxmlformats.org/officeDocument/2006/relationships/hyperlink" Target="consultantplus://offline/ref=84BFFF0FB385C245D94CA3C5A497319B5F1CEFDF872523B7E471BB98B80AADCC9461BB5A24DFDDE7547C0C16509758D8B5AB5055B5899659AE3510AE53g0dCM" TargetMode="External"/><Relationship Id="rId19" Type="http://schemas.openxmlformats.org/officeDocument/2006/relationships/hyperlink" Target="consultantplus://offline/ref=84BFFF0FB385C245D94CA3C5A497319B5F1CEFDF872521BFE574B698B80AADCC9461BB5A24DFDDE7547C0C16569158D8B5AB5055B5899659AE3510AE53g0dC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BFFF0FB385C245D94CA3C5A497319B5F1CEFDF872522BEE376BF98B80AADCC9461BB5A24DFDDE7547C0C10529C58D8B5AB5055B5899659AE3510AE53g0dCM" TargetMode="External"/><Relationship Id="rId14" Type="http://schemas.openxmlformats.org/officeDocument/2006/relationships/hyperlink" Target="consultantplus://offline/ref=84BFFF0FB385C245D94CA3C5A497319B5F1CEFDF872521B4E772B698B80AADCC9461BB5A24DFDDE7547C0C16559D58D8B5AB5055B5899659AE3510AE53g0dCM" TargetMode="External"/><Relationship Id="rId22" Type="http://schemas.openxmlformats.org/officeDocument/2006/relationships/hyperlink" Target="consultantplus://offline/ref=84BFFF0FB385C245D94CA3C5A497319B5F1CEFDF872521B3EC73BC98B80AADCC9461BB5A24CDDDBF587D0F0854954D8EE4EDg0d0M" TargetMode="External"/><Relationship Id="rId27" Type="http://schemas.openxmlformats.org/officeDocument/2006/relationships/hyperlink" Target="consultantplus://offline/ref=84BFFF0FB385C245D94CA3C5A497319B5F1CEFDF872521B1E171BC98B80AADCC9461BB5A24DFDDE7547C0C16569158D8B5AB5055B5899659AE3510AE53g0dCM" TargetMode="External"/><Relationship Id="rId30" Type="http://schemas.openxmlformats.org/officeDocument/2006/relationships/hyperlink" Target="consultantplus://offline/ref=84BFFF0FB385C245D94CA3C5A497319B5F1CEFDF872523B7E471BB98B80AADCC9461BB5A24DFDDE7547C0C16509158D8B5AB5055B5899659AE3510AE53g0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5687</Words>
  <Characters>32418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2025-01-13T12:29:00Z</dcterms:created>
</cp:coreProperties>
</file>